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BA63B" w14:textId="19CE20E9" w:rsidR="00992E96" w:rsidRPr="00BB212B" w:rsidRDefault="00B437C2" w:rsidP="00992E96">
      <w:pPr>
        <w:pStyle w:val="LGAItemNoHeading"/>
        <w:spacing w:before="240"/>
        <w:rPr>
          <w:rFonts w:ascii="Arial" w:hAnsi="Arial" w:cs="Arial"/>
          <w:sz w:val="28"/>
          <w:szCs w:val="28"/>
        </w:rPr>
      </w:pPr>
      <w:r>
        <w:rPr>
          <w:rFonts w:ascii="Arial" w:hAnsi="Arial" w:cs="Arial"/>
          <w:sz w:val="28"/>
          <w:szCs w:val="28"/>
        </w:rPr>
        <w:t>Work Programme and Policy D</w:t>
      </w:r>
      <w:r w:rsidR="006B2241">
        <w:rPr>
          <w:rFonts w:ascii="Arial" w:hAnsi="Arial" w:cs="Arial"/>
          <w:sz w:val="28"/>
          <w:szCs w:val="28"/>
        </w:rPr>
        <w:t>irection</w:t>
      </w:r>
    </w:p>
    <w:p w14:paraId="0C9BA63C" w14:textId="77777777" w:rsidR="00992E96" w:rsidRDefault="00992E96" w:rsidP="00992E96">
      <w:pPr>
        <w:pStyle w:val="MainText"/>
        <w:spacing w:line="240" w:lineRule="auto"/>
        <w:rPr>
          <w:rFonts w:ascii="Arial" w:hAnsi="Arial" w:cs="Arial"/>
          <w:b/>
          <w:szCs w:val="22"/>
        </w:rPr>
      </w:pPr>
    </w:p>
    <w:p w14:paraId="0C9BA63D" w14:textId="77777777"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0C9BA63E" w14:textId="77777777" w:rsidR="00992E96" w:rsidRPr="0021114E" w:rsidRDefault="00992E96" w:rsidP="00992E96">
      <w:pPr>
        <w:pStyle w:val="MainText"/>
        <w:spacing w:line="240" w:lineRule="auto"/>
        <w:rPr>
          <w:rFonts w:ascii="Arial" w:hAnsi="Arial" w:cs="Arial"/>
          <w:b/>
          <w:szCs w:val="22"/>
        </w:rPr>
      </w:pPr>
    </w:p>
    <w:p w14:paraId="0C9BA63F" w14:textId="77777777" w:rsidR="00992E96" w:rsidRPr="0021114E" w:rsidRDefault="00992E96" w:rsidP="00992E96">
      <w:pPr>
        <w:pStyle w:val="MainText"/>
        <w:spacing w:line="240" w:lineRule="auto"/>
        <w:rPr>
          <w:rFonts w:ascii="Arial" w:hAnsi="Arial" w:cs="Arial"/>
          <w:b/>
          <w:szCs w:val="22"/>
        </w:rPr>
      </w:pPr>
      <w:r w:rsidRPr="0021114E">
        <w:rPr>
          <w:rFonts w:ascii="Arial" w:hAnsi="Arial" w:cs="Arial"/>
          <w:szCs w:val="22"/>
        </w:rPr>
        <w:t>For discussion and direction</w:t>
      </w:r>
      <w:r>
        <w:rPr>
          <w:rFonts w:ascii="Arial" w:hAnsi="Arial" w:cs="Arial"/>
          <w:szCs w:val="22"/>
        </w:rPr>
        <w:t>.</w:t>
      </w:r>
    </w:p>
    <w:p w14:paraId="0C9BA640" w14:textId="77777777" w:rsidR="00992E96" w:rsidRDefault="00992E96" w:rsidP="00992E96">
      <w:pPr>
        <w:pStyle w:val="MainText"/>
        <w:spacing w:line="240" w:lineRule="auto"/>
        <w:rPr>
          <w:rFonts w:ascii="Arial" w:hAnsi="Arial" w:cs="Arial"/>
          <w:b/>
          <w:szCs w:val="22"/>
        </w:rPr>
      </w:pPr>
    </w:p>
    <w:p w14:paraId="0C9BA641" w14:textId="77777777" w:rsidR="00992E96" w:rsidRPr="0021114E" w:rsidRDefault="00992E96" w:rsidP="00992E96">
      <w:pPr>
        <w:pStyle w:val="MainText"/>
        <w:spacing w:line="240" w:lineRule="auto"/>
        <w:rPr>
          <w:rFonts w:ascii="Arial" w:hAnsi="Arial" w:cs="Arial"/>
          <w:b/>
          <w:szCs w:val="22"/>
        </w:rPr>
      </w:pPr>
    </w:p>
    <w:p w14:paraId="0C9BA642"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0C9BA643" w14:textId="77777777" w:rsidR="00992E96" w:rsidRDefault="00992E96" w:rsidP="00992E96">
      <w:pPr>
        <w:pStyle w:val="MainText"/>
        <w:spacing w:line="240" w:lineRule="auto"/>
        <w:rPr>
          <w:rFonts w:ascii="Arial" w:hAnsi="Arial" w:cs="Arial"/>
          <w:szCs w:val="22"/>
        </w:rPr>
      </w:pPr>
    </w:p>
    <w:p w14:paraId="0C9BA644" w14:textId="7183D34A" w:rsidR="00992E96" w:rsidRPr="00E90EA8" w:rsidRDefault="000B1BCB" w:rsidP="00992E96">
      <w:pPr>
        <w:pStyle w:val="MainText"/>
        <w:spacing w:line="240" w:lineRule="auto"/>
        <w:rPr>
          <w:rFonts w:ascii="Arial" w:hAnsi="Arial" w:cs="Arial"/>
          <w:szCs w:val="22"/>
        </w:rPr>
      </w:pPr>
      <w:r w:rsidRPr="00E90EA8">
        <w:rPr>
          <w:rFonts w:ascii="Arial" w:hAnsi="Arial" w:cs="Arial"/>
          <w:szCs w:val="22"/>
        </w:rPr>
        <w:t>This report sets out the national context for the Board</w:t>
      </w:r>
      <w:r>
        <w:rPr>
          <w:rFonts w:ascii="Arial" w:hAnsi="Arial" w:cs="Arial"/>
          <w:szCs w:val="22"/>
        </w:rPr>
        <w:t>’s work; updates members on current projects and invites comments on the future direction of devolution policy for non-metropolitan England</w:t>
      </w:r>
      <w:r w:rsidR="00E1360A">
        <w:rPr>
          <w:rFonts w:ascii="Arial" w:hAnsi="Arial" w:cs="Arial"/>
          <w:szCs w:val="22"/>
        </w:rPr>
        <w:t xml:space="preserve">. </w:t>
      </w:r>
    </w:p>
    <w:p w14:paraId="0C9BA645" w14:textId="77777777" w:rsidR="00992E96" w:rsidRPr="0021114E" w:rsidRDefault="00992E96" w:rsidP="00992E96">
      <w:pPr>
        <w:pStyle w:val="MainText"/>
        <w:spacing w:line="240" w:lineRule="auto"/>
        <w:rPr>
          <w:rFonts w:ascii="Arial" w:hAnsi="Arial" w:cs="Arial"/>
          <w:szCs w:val="22"/>
        </w:rPr>
      </w:pPr>
    </w:p>
    <w:p w14:paraId="0C9BA646"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0C9BA650" w14:textId="77777777" w:rsidTr="006B2241">
        <w:tc>
          <w:tcPr>
            <w:tcW w:w="9157" w:type="dxa"/>
          </w:tcPr>
          <w:p w14:paraId="0C9BA647" w14:textId="77777777" w:rsidR="00992E96" w:rsidRPr="0021114E" w:rsidRDefault="00992E96" w:rsidP="006B2241">
            <w:pPr>
              <w:pStyle w:val="MainText"/>
              <w:spacing w:line="240" w:lineRule="auto"/>
              <w:rPr>
                <w:rFonts w:ascii="Arial" w:hAnsi="Arial" w:cs="Arial"/>
                <w:b/>
                <w:szCs w:val="22"/>
              </w:rPr>
            </w:pPr>
          </w:p>
          <w:p w14:paraId="0C9BA648" w14:textId="77777777" w:rsidR="00992E96" w:rsidRDefault="00992E96" w:rsidP="006B2241">
            <w:pPr>
              <w:pStyle w:val="MainText"/>
              <w:spacing w:line="240" w:lineRule="auto"/>
              <w:rPr>
                <w:rFonts w:ascii="Arial" w:hAnsi="Arial" w:cs="Arial"/>
                <w:b/>
                <w:szCs w:val="22"/>
              </w:rPr>
            </w:pPr>
            <w:r w:rsidRPr="0021114E">
              <w:rPr>
                <w:rFonts w:ascii="Arial" w:hAnsi="Arial" w:cs="Arial"/>
                <w:b/>
                <w:szCs w:val="22"/>
              </w:rPr>
              <w:t>Recommendation</w:t>
            </w:r>
          </w:p>
          <w:p w14:paraId="0C9BA649" w14:textId="77777777" w:rsidR="00992E96" w:rsidRPr="0021114E" w:rsidRDefault="00992E96" w:rsidP="006B2241">
            <w:pPr>
              <w:pStyle w:val="MainText"/>
              <w:spacing w:line="240" w:lineRule="auto"/>
              <w:rPr>
                <w:rFonts w:ascii="Arial" w:hAnsi="Arial" w:cs="Arial"/>
                <w:szCs w:val="22"/>
              </w:rPr>
            </w:pPr>
            <w:bookmarkStart w:id="0" w:name="_GoBack"/>
            <w:bookmarkEnd w:id="0"/>
          </w:p>
          <w:p w14:paraId="0C9BA64A" w14:textId="53E90A4E" w:rsidR="00992E96" w:rsidRPr="0021114E" w:rsidRDefault="00992E96" w:rsidP="006B2241">
            <w:pPr>
              <w:pStyle w:val="MainText"/>
              <w:spacing w:line="240" w:lineRule="auto"/>
              <w:rPr>
                <w:rFonts w:ascii="Arial" w:hAnsi="Arial" w:cs="Arial"/>
                <w:szCs w:val="22"/>
              </w:rPr>
            </w:pPr>
            <w:r>
              <w:rPr>
                <w:rFonts w:ascii="Arial" w:hAnsi="Arial" w:cs="Arial"/>
                <w:szCs w:val="22"/>
              </w:rPr>
              <w:t xml:space="preserve">That the </w:t>
            </w:r>
            <w:r w:rsidR="00802501">
              <w:rPr>
                <w:rFonts w:ascii="Arial" w:hAnsi="Arial" w:cs="Arial"/>
                <w:szCs w:val="22"/>
              </w:rPr>
              <w:t xml:space="preserve">People and Places </w:t>
            </w:r>
            <w:r w:rsidR="000B1BCB">
              <w:rPr>
                <w:rFonts w:ascii="Arial" w:hAnsi="Arial" w:cs="Arial"/>
                <w:szCs w:val="22"/>
              </w:rPr>
              <w:t xml:space="preserve">Board </w:t>
            </w:r>
            <w:r w:rsidR="006C1D76">
              <w:rPr>
                <w:rFonts w:ascii="Arial" w:hAnsi="Arial" w:cs="Arial"/>
                <w:szCs w:val="22"/>
              </w:rPr>
              <w:t xml:space="preserve">comment on and </w:t>
            </w:r>
            <w:r w:rsidR="000B1BCB">
              <w:rPr>
                <w:rFonts w:ascii="Arial" w:hAnsi="Arial" w:cs="Arial"/>
                <w:szCs w:val="22"/>
              </w:rPr>
              <w:t>agr</w:t>
            </w:r>
            <w:r w:rsidR="006C1D76">
              <w:rPr>
                <w:rFonts w:ascii="Arial" w:hAnsi="Arial" w:cs="Arial"/>
                <w:szCs w:val="22"/>
              </w:rPr>
              <w:t xml:space="preserve">ee the proposed </w:t>
            </w:r>
            <w:proofErr w:type="spellStart"/>
            <w:r w:rsidR="006C1D76">
              <w:rPr>
                <w:rFonts w:ascii="Arial" w:hAnsi="Arial" w:cs="Arial"/>
                <w:szCs w:val="22"/>
              </w:rPr>
              <w:t>workstreams</w:t>
            </w:r>
            <w:proofErr w:type="spellEnd"/>
            <w:r w:rsidR="006C1D76">
              <w:rPr>
                <w:rFonts w:ascii="Arial" w:hAnsi="Arial" w:cs="Arial"/>
                <w:szCs w:val="22"/>
              </w:rPr>
              <w:t xml:space="preserve"> at paragraphs </w:t>
            </w:r>
            <w:r w:rsidR="006C1D76" w:rsidRPr="00036DA7">
              <w:rPr>
                <w:rFonts w:ascii="Arial" w:hAnsi="Arial" w:cs="Arial"/>
                <w:szCs w:val="22"/>
              </w:rPr>
              <w:t>13</w:t>
            </w:r>
            <w:r w:rsidR="00E1360A">
              <w:rPr>
                <w:rFonts w:ascii="Arial" w:hAnsi="Arial" w:cs="Arial"/>
                <w:szCs w:val="22"/>
              </w:rPr>
              <w:t xml:space="preserve">, </w:t>
            </w:r>
            <w:r w:rsidR="006C1D76" w:rsidRPr="00036DA7">
              <w:rPr>
                <w:rFonts w:ascii="Arial" w:hAnsi="Arial" w:cs="Arial"/>
                <w:szCs w:val="22"/>
              </w:rPr>
              <w:t>1</w:t>
            </w:r>
            <w:r w:rsidR="00036DA7" w:rsidRPr="001323AE">
              <w:rPr>
                <w:rFonts w:ascii="Arial" w:hAnsi="Arial" w:cs="Arial"/>
                <w:szCs w:val="22"/>
              </w:rPr>
              <w:t>7</w:t>
            </w:r>
            <w:r w:rsidR="00E1360A">
              <w:rPr>
                <w:rFonts w:ascii="Arial" w:hAnsi="Arial" w:cs="Arial"/>
                <w:szCs w:val="22"/>
              </w:rPr>
              <w:t xml:space="preserve"> and 21</w:t>
            </w:r>
            <w:r w:rsidR="006C1D76" w:rsidRPr="001323AE">
              <w:rPr>
                <w:rFonts w:ascii="Arial" w:hAnsi="Arial" w:cs="Arial"/>
                <w:szCs w:val="22"/>
              </w:rPr>
              <w:t>.</w:t>
            </w:r>
          </w:p>
          <w:p w14:paraId="0C9BA64B" w14:textId="77777777" w:rsidR="00992E96" w:rsidRPr="0021114E" w:rsidRDefault="00992E96" w:rsidP="006B2241">
            <w:pPr>
              <w:pStyle w:val="MainText"/>
              <w:spacing w:line="240" w:lineRule="auto"/>
              <w:rPr>
                <w:rFonts w:ascii="Arial" w:hAnsi="Arial" w:cs="Arial"/>
                <w:szCs w:val="22"/>
              </w:rPr>
            </w:pPr>
          </w:p>
          <w:p w14:paraId="0C9BA64C" w14:textId="77777777" w:rsidR="00992E96" w:rsidRPr="0021114E" w:rsidRDefault="00992E96" w:rsidP="006B2241">
            <w:pPr>
              <w:pStyle w:val="MainText"/>
              <w:spacing w:line="240" w:lineRule="auto"/>
              <w:rPr>
                <w:rFonts w:ascii="Arial" w:hAnsi="Arial" w:cs="Arial"/>
                <w:b/>
                <w:szCs w:val="22"/>
              </w:rPr>
            </w:pPr>
            <w:r w:rsidRPr="0021114E">
              <w:rPr>
                <w:rFonts w:ascii="Arial" w:hAnsi="Arial" w:cs="Arial"/>
                <w:b/>
                <w:szCs w:val="22"/>
              </w:rPr>
              <w:t>Action</w:t>
            </w:r>
          </w:p>
          <w:p w14:paraId="0C9BA64D" w14:textId="77777777" w:rsidR="00992E96" w:rsidRPr="0021114E" w:rsidRDefault="00992E96" w:rsidP="006B2241">
            <w:pPr>
              <w:pStyle w:val="MainText"/>
              <w:spacing w:line="240" w:lineRule="auto"/>
              <w:rPr>
                <w:rFonts w:ascii="Arial" w:hAnsi="Arial" w:cs="Arial"/>
                <w:b/>
                <w:szCs w:val="22"/>
              </w:rPr>
            </w:pPr>
          </w:p>
          <w:p w14:paraId="0C9BA64E" w14:textId="77777777" w:rsidR="00992E96" w:rsidRPr="0021114E" w:rsidRDefault="003D667D" w:rsidP="006B2241">
            <w:pPr>
              <w:pStyle w:val="MainText"/>
              <w:spacing w:line="240" w:lineRule="auto"/>
              <w:rPr>
                <w:rFonts w:ascii="Arial" w:hAnsi="Arial" w:cs="Arial"/>
                <w:szCs w:val="22"/>
              </w:rPr>
            </w:pPr>
            <w:r w:rsidRPr="003D667D">
              <w:rPr>
                <w:rFonts w:ascii="Arial" w:hAnsi="Arial" w:cs="Arial"/>
                <w:szCs w:val="22"/>
              </w:rPr>
              <w:t>Officers to proceed as directed by members</w:t>
            </w:r>
            <w:r w:rsidR="00992E96">
              <w:rPr>
                <w:rFonts w:ascii="Arial" w:hAnsi="Arial" w:cs="Arial"/>
                <w:szCs w:val="22"/>
              </w:rPr>
              <w:t>.</w:t>
            </w:r>
          </w:p>
          <w:p w14:paraId="0C9BA64F" w14:textId="77777777" w:rsidR="00992E96" w:rsidRPr="0021114E" w:rsidRDefault="00992E96" w:rsidP="006B2241">
            <w:pPr>
              <w:pStyle w:val="MainText"/>
              <w:spacing w:line="240" w:lineRule="auto"/>
              <w:rPr>
                <w:rFonts w:ascii="Arial" w:hAnsi="Arial" w:cs="Arial"/>
                <w:b/>
                <w:szCs w:val="22"/>
              </w:rPr>
            </w:pPr>
          </w:p>
        </w:tc>
      </w:tr>
    </w:tbl>
    <w:p w14:paraId="0C9BA651" w14:textId="77777777" w:rsidR="00992E96" w:rsidRPr="0021114E" w:rsidRDefault="00992E96" w:rsidP="00992E96">
      <w:pPr>
        <w:pStyle w:val="MainText"/>
        <w:spacing w:line="240" w:lineRule="auto"/>
        <w:rPr>
          <w:rFonts w:ascii="Arial" w:hAnsi="Arial" w:cs="Arial"/>
          <w:szCs w:val="22"/>
        </w:rPr>
      </w:pPr>
    </w:p>
    <w:p w14:paraId="0C9BA652" w14:textId="77777777" w:rsidR="00992E96" w:rsidRPr="00B27F61"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0C9BA655" w14:textId="77777777" w:rsidTr="00992E96">
        <w:tc>
          <w:tcPr>
            <w:tcW w:w="2774" w:type="dxa"/>
          </w:tcPr>
          <w:p w14:paraId="0C9BA653" w14:textId="77777777" w:rsidR="00992E96" w:rsidRPr="00B27F61" w:rsidRDefault="00992E96" w:rsidP="006B2241">
            <w:pPr>
              <w:pStyle w:val="MainText"/>
              <w:spacing w:before="120" w:line="240" w:lineRule="auto"/>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0C9BA654" w14:textId="77777777" w:rsidR="00992E96" w:rsidRPr="00B27F61" w:rsidRDefault="003D667D" w:rsidP="006B2241">
            <w:pPr>
              <w:pStyle w:val="MainText"/>
              <w:spacing w:before="120" w:line="240" w:lineRule="auto"/>
              <w:rPr>
                <w:rFonts w:ascii="Arial" w:hAnsi="Arial" w:cs="Arial"/>
                <w:sz w:val="22"/>
                <w:szCs w:val="22"/>
              </w:rPr>
            </w:pPr>
            <w:r>
              <w:rPr>
                <w:rFonts w:ascii="Arial" w:hAnsi="Arial" w:cs="Arial"/>
                <w:sz w:val="22"/>
                <w:szCs w:val="22"/>
              </w:rPr>
              <w:t>Rebecca Cox</w:t>
            </w:r>
          </w:p>
        </w:tc>
      </w:tr>
      <w:tr w:rsidR="00992E96" w:rsidRPr="00B27F61" w14:paraId="0C9BA658" w14:textId="77777777" w:rsidTr="00992E96">
        <w:tc>
          <w:tcPr>
            <w:tcW w:w="2774" w:type="dxa"/>
          </w:tcPr>
          <w:p w14:paraId="0C9BA656" w14:textId="77777777" w:rsidR="00992E96" w:rsidRPr="00B27F61" w:rsidRDefault="00992E96" w:rsidP="006B2241">
            <w:pPr>
              <w:pStyle w:val="MainText"/>
              <w:spacing w:before="120" w:line="240" w:lineRule="auto"/>
              <w:rPr>
                <w:rFonts w:ascii="Arial" w:hAnsi="Arial" w:cs="Arial"/>
                <w:b/>
                <w:sz w:val="22"/>
                <w:szCs w:val="22"/>
              </w:rPr>
            </w:pPr>
            <w:r w:rsidRPr="00B27F61">
              <w:rPr>
                <w:rFonts w:ascii="Arial" w:hAnsi="Arial" w:cs="Arial"/>
                <w:b/>
                <w:sz w:val="22"/>
                <w:szCs w:val="22"/>
              </w:rPr>
              <w:t>Position:</w:t>
            </w:r>
          </w:p>
        </w:tc>
        <w:tc>
          <w:tcPr>
            <w:tcW w:w="6297" w:type="dxa"/>
          </w:tcPr>
          <w:p w14:paraId="0C9BA657" w14:textId="77777777" w:rsidR="00992E96" w:rsidRPr="00B27F61" w:rsidRDefault="003D667D" w:rsidP="006B2241">
            <w:pPr>
              <w:pStyle w:val="MainText"/>
              <w:spacing w:before="120" w:line="240" w:lineRule="auto"/>
              <w:rPr>
                <w:rFonts w:ascii="Arial" w:hAnsi="Arial" w:cs="Arial"/>
                <w:sz w:val="22"/>
                <w:szCs w:val="22"/>
              </w:rPr>
            </w:pPr>
            <w:r>
              <w:rPr>
                <w:rFonts w:ascii="Arial" w:hAnsi="Arial" w:cs="Arial"/>
                <w:sz w:val="22"/>
                <w:szCs w:val="22"/>
              </w:rPr>
              <w:t>Principal Policy Adviser</w:t>
            </w:r>
          </w:p>
        </w:tc>
      </w:tr>
      <w:tr w:rsidR="00992E96" w:rsidRPr="00B27F61" w14:paraId="0C9BA65B" w14:textId="77777777" w:rsidTr="00992E96">
        <w:tc>
          <w:tcPr>
            <w:tcW w:w="2774" w:type="dxa"/>
          </w:tcPr>
          <w:p w14:paraId="0C9BA659" w14:textId="77777777" w:rsidR="00992E96" w:rsidRPr="00B27F61" w:rsidRDefault="00992E96" w:rsidP="006B2241">
            <w:pPr>
              <w:pStyle w:val="MainText"/>
              <w:spacing w:before="120" w:line="240" w:lineRule="auto"/>
              <w:rPr>
                <w:rFonts w:ascii="Arial" w:hAnsi="Arial" w:cs="Arial"/>
                <w:b/>
                <w:sz w:val="22"/>
                <w:szCs w:val="22"/>
              </w:rPr>
            </w:pPr>
            <w:r w:rsidRPr="00B27F61">
              <w:rPr>
                <w:rFonts w:ascii="Arial" w:hAnsi="Arial" w:cs="Arial"/>
                <w:b/>
                <w:sz w:val="22"/>
                <w:szCs w:val="22"/>
              </w:rPr>
              <w:t>Phone no:</w:t>
            </w:r>
          </w:p>
        </w:tc>
        <w:tc>
          <w:tcPr>
            <w:tcW w:w="6297" w:type="dxa"/>
          </w:tcPr>
          <w:p w14:paraId="0C9BA65A" w14:textId="77777777" w:rsidR="00992E96" w:rsidRPr="00B27F61" w:rsidRDefault="003D667D" w:rsidP="006B2241">
            <w:pPr>
              <w:pStyle w:val="MainText"/>
              <w:spacing w:before="120" w:line="240" w:lineRule="auto"/>
              <w:rPr>
                <w:rFonts w:ascii="Arial" w:hAnsi="Arial" w:cs="Arial"/>
                <w:sz w:val="22"/>
                <w:szCs w:val="22"/>
              </w:rPr>
            </w:pPr>
            <w:r>
              <w:rPr>
                <w:rFonts w:ascii="Arial" w:hAnsi="Arial" w:cs="Arial"/>
                <w:sz w:val="22"/>
                <w:szCs w:val="22"/>
              </w:rPr>
              <w:t>020 7187 7384</w:t>
            </w:r>
            <w:r w:rsidR="004E15CC">
              <w:rPr>
                <w:rFonts w:ascii="Arial" w:hAnsi="Arial" w:cs="Arial"/>
                <w:sz w:val="22"/>
                <w:szCs w:val="22"/>
              </w:rPr>
              <w:t xml:space="preserve"> / 07921 604 237</w:t>
            </w:r>
          </w:p>
        </w:tc>
      </w:tr>
      <w:tr w:rsidR="00992E96" w:rsidRPr="00B27F61" w14:paraId="0C9BA65E" w14:textId="77777777" w:rsidTr="00992E96">
        <w:trPr>
          <w:trHeight w:val="507"/>
        </w:trPr>
        <w:tc>
          <w:tcPr>
            <w:tcW w:w="2774" w:type="dxa"/>
          </w:tcPr>
          <w:p w14:paraId="0C9BA65C" w14:textId="77777777" w:rsidR="00992E96" w:rsidRPr="00B27F61" w:rsidRDefault="00992E96" w:rsidP="006B2241">
            <w:pPr>
              <w:pStyle w:val="MainText"/>
              <w:spacing w:before="120" w:line="240" w:lineRule="auto"/>
              <w:rPr>
                <w:rFonts w:ascii="Arial" w:hAnsi="Arial" w:cs="Arial"/>
                <w:b/>
                <w:sz w:val="22"/>
                <w:szCs w:val="22"/>
              </w:rPr>
            </w:pPr>
            <w:r w:rsidRPr="00B27F61">
              <w:rPr>
                <w:rFonts w:ascii="Arial" w:hAnsi="Arial" w:cs="Arial"/>
                <w:b/>
                <w:sz w:val="22"/>
                <w:szCs w:val="22"/>
              </w:rPr>
              <w:t>Email:</w:t>
            </w:r>
          </w:p>
        </w:tc>
        <w:tc>
          <w:tcPr>
            <w:tcW w:w="6297" w:type="dxa"/>
          </w:tcPr>
          <w:p w14:paraId="0C9BA65D" w14:textId="77777777" w:rsidR="00992E96" w:rsidRPr="003D667D" w:rsidRDefault="00E1360A" w:rsidP="003D667D">
            <w:pPr>
              <w:pStyle w:val="MainText"/>
              <w:spacing w:before="120" w:line="240" w:lineRule="auto"/>
              <w:rPr>
                <w:rFonts w:ascii="Arial" w:hAnsi="Arial" w:cs="Arial"/>
                <w:sz w:val="22"/>
                <w:szCs w:val="22"/>
              </w:rPr>
            </w:pPr>
            <w:hyperlink r:id="rId11" w:history="1">
              <w:r w:rsidR="003D667D" w:rsidRPr="003D667D">
                <w:rPr>
                  <w:rStyle w:val="Hyperlink"/>
                  <w:rFonts w:ascii="Arial" w:hAnsi="Arial" w:cs="Arial"/>
                  <w:sz w:val="22"/>
                  <w:szCs w:val="22"/>
                </w:rPr>
                <w:t>rebecca.cox@local.gov.uk</w:t>
              </w:r>
            </w:hyperlink>
            <w:r w:rsidR="003D667D" w:rsidRPr="003D667D">
              <w:rPr>
                <w:rFonts w:ascii="Arial" w:hAnsi="Arial" w:cs="Arial"/>
                <w:sz w:val="22"/>
                <w:szCs w:val="22"/>
              </w:rPr>
              <w:t xml:space="preserve"> </w:t>
            </w:r>
            <w:r w:rsidR="00992E96" w:rsidRPr="003D667D">
              <w:rPr>
                <w:rFonts w:ascii="Arial" w:hAnsi="Arial" w:cs="Arial"/>
                <w:sz w:val="22"/>
                <w:szCs w:val="22"/>
              </w:rPr>
              <w:t xml:space="preserve"> </w:t>
            </w:r>
          </w:p>
        </w:tc>
      </w:tr>
    </w:tbl>
    <w:p w14:paraId="0C9BA65F" w14:textId="77777777" w:rsidR="00992E96" w:rsidRPr="00B27F61" w:rsidRDefault="00992E96">
      <w:pPr>
        <w:rPr>
          <w:rFonts w:ascii="Arial" w:hAnsi="Arial" w:cs="Arial"/>
          <w:szCs w:val="22"/>
        </w:rPr>
      </w:pPr>
      <w:r w:rsidRPr="00B27F61">
        <w:rPr>
          <w:rFonts w:ascii="Arial" w:hAnsi="Arial" w:cs="Arial"/>
          <w:szCs w:val="22"/>
        </w:rPr>
        <w:br w:type="page"/>
      </w:r>
    </w:p>
    <w:p w14:paraId="0C9BA660" w14:textId="77777777" w:rsidR="00992E96" w:rsidRDefault="00992E96" w:rsidP="00992E96">
      <w:pPr>
        <w:rPr>
          <w:rFonts w:ascii="Arial" w:hAnsi="Arial" w:cs="Arial"/>
          <w:szCs w:val="22"/>
        </w:rPr>
        <w:sectPr w:rsidR="00992E96" w:rsidSect="006B2241">
          <w:headerReference w:type="default" r:id="rId12"/>
          <w:footerReference w:type="default" r:id="rId13"/>
          <w:headerReference w:type="first" r:id="rId14"/>
          <w:pgSz w:w="11907" w:h="16840" w:code="9"/>
          <w:pgMar w:top="1418" w:right="1418" w:bottom="851" w:left="1418" w:header="1134" w:footer="567" w:gutter="0"/>
          <w:cols w:space="720"/>
        </w:sectPr>
      </w:pPr>
    </w:p>
    <w:p w14:paraId="0C9BA661" w14:textId="219424E5" w:rsidR="00992E96" w:rsidRPr="00992E96" w:rsidRDefault="00B437C2" w:rsidP="00992E96">
      <w:pPr>
        <w:rPr>
          <w:rFonts w:ascii="Arial" w:hAnsi="Arial" w:cs="Arial"/>
          <w:szCs w:val="22"/>
        </w:rPr>
      </w:pPr>
      <w:bookmarkStart w:id="3" w:name="MainHeading2"/>
      <w:bookmarkEnd w:id="3"/>
      <w:r>
        <w:rPr>
          <w:rFonts w:ascii="Arial" w:hAnsi="Arial" w:cs="Arial"/>
          <w:b/>
          <w:sz w:val="28"/>
          <w:szCs w:val="22"/>
        </w:rPr>
        <w:lastRenderedPageBreak/>
        <w:t>Work Programme and Policy D</w:t>
      </w:r>
      <w:r w:rsidR="006B2241">
        <w:rPr>
          <w:rFonts w:ascii="Arial" w:hAnsi="Arial" w:cs="Arial"/>
          <w:b/>
          <w:sz w:val="28"/>
          <w:szCs w:val="22"/>
        </w:rPr>
        <w:t>irection</w:t>
      </w:r>
    </w:p>
    <w:p w14:paraId="0C9BA662" w14:textId="77777777" w:rsidR="00992E96" w:rsidRPr="0021114E" w:rsidRDefault="00992E96" w:rsidP="00992E96">
      <w:pPr>
        <w:pStyle w:val="MainText"/>
        <w:spacing w:line="240" w:lineRule="auto"/>
        <w:rPr>
          <w:rFonts w:ascii="Arial" w:hAnsi="Arial" w:cs="Arial"/>
          <w:b/>
          <w:color w:val="FF0000"/>
          <w:szCs w:val="22"/>
        </w:rPr>
      </w:pPr>
    </w:p>
    <w:p w14:paraId="0C9BA663" w14:textId="77777777" w:rsidR="00992E96" w:rsidRPr="0021114E" w:rsidRDefault="00992E96" w:rsidP="00841D53">
      <w:pPr>
        <w:pStyle w:val="MainText"/>
        <w:spacing w:line="240" w:lineRule="auto"/>
        <w:rPr>
          <w:rFonts w:ascii="Arial" w:hAnsi="Arial" w:cs="Arial"/>
          <w:szCs w:val="22"/>
        </w:rPr>
      </w:pPr>
      <w:r w:rsidRPr="0021114E">
        <w:rPr>
          <w:rFonts w:ascii="Arial" w:hAnsi="Arial" w:cs="Arial"/>
          <w:b/>
          <w:szCs w:val="22"/>
        </w:rPr>
        <w:t>Background</w:t>
      </w:r>
    </w:p>
    <w:p w14:paraId="0C9BA664" w14:textId="77777777" w:rsidR="00992E96" w:rsidRPr="0021114E" w:rsidRDefault="00992E96" w:rsidP="00841D53">
      <w:pPr>
        <w:pStyle w:val="MainText"/>
        <w:spacing w:line="240" w:lineRule="auto"/>
        <w:rPr>
          <w:rFonts w:ascii="Arial" w:hAnsi="Arial" w:cs="Arial"/>
          <w:szCs w:val="22"/>
        </w:rPr>
      </w:pPr>
    </w:p>
    <w:p w14:paraId="0C9BA665" w14:textId="77777777" w:rsidR="00992E96" w:rsidRDefault="0019661E" w:rsidP="00841D53">
      <w:pPr>
        <w:pStyle w:val="MainText"/>
        <w:numPr>
          <w:ilvl w:val="0"/>
          <w:numId w:val="1"/>
        </w:numPr>
        <w:spacing w:line="240" w:lineRule="auto"/>
        <w:rPr>
          <w:rFonts w:ascii="Arial" w:hAnsi="Arial" w:cs="Arial"/>
          <w:szCs w:val="22"/>
        </w:rPr>
      </w:pPr>
      <w:r>
        <w:rPr>
          <w:rFonts w:ascii="Arial" w:hAnsi="Arial" w:cs="Arial"/>
          <w:szCs w:val="22"/>
        </w:rPr>
        <w:t>During the 20</w:t>
      </w:r>
      <w:r w:rsidR="00630690">
        <w:rPr>
          <w:rFonts w:ascii="Arial" w:hAnsi="Arial" w:cs="Arial"/>
          <w:szCs w:val="22"/>
        </w:rPr>
        <w:t>1</w:t>
      </w:r>
      <w:r>
        <w:rPr>
          <w:rFonts w:ascii="Arial" w:hAnsi="Arial" w:cs="Arial"/>
          <w:szCs w:val="22"/>
        </w:rPr>
        <w:t>6/17 Board cycle, members led the development of a comprehensive programme of activity encompassing devolution in England, skills and employment support, trade and investment</w:t>
      </w:r>
      <w:r w:rsidR="007C381C">
        <w:rPr>
          <w:rFonts w:ascii="Arial" w:hAnsi="Arial" w:cs="Arial"/>
          <w:szCs w:val="22"/>
        </w:rPr>
        <w:t>,</w:t>
      </w:r>
      <w:r>
        <w:rPr>
          <w:rFonts w:ascii="Arial" w:hAnsi="Arial" w:cs="Arial"/>
          <w:szCs w:val="22"/>
        </w:rPr>
        <w:t xml:space="preserve"> and digital connectivity. The Board accepted a commission from the Leadership Board to start a debate on the constitutional position of local government during and after Brexit.</w:t>
      </w:r>
      <w:r w:rsidR="000045A6">
        <w:rPr>
          <w:rFonts w:ascii="Arial" w:hAnsi="Arial" w:cs="Arial"/>
          <w:szCs w:val="22"/>
        </w:rPr>
        <w:t xml:space="preserve"> The Board also oversaw the </w:t>
      </w:r>
      <w:r w:rsidR="00A51414">
        <w:rPr>
          <w:rFonts w:ascii="Arial" w:hAnsi="Arial" w:cs="Arial"/>
          <w:szCs w:val="22"/>
        </w:rPr>
        <w:t xml:space="preserve">first and second phases of the </w:t>
      </w:r>
      <w:r w:rsidR="000045A6">
        <w:rPr>
          <w:rFonts w:ascii="Arial" w:hAnsi="Arial" w:cs="Arial"/>
          <w:szCs w:val="22"/>
        </w:rPr>
        <w:t xml:space="preserve">Leading Places programme, supporting </w:t>
      </w:r>
      <w:r w:rsidR="00C82E91">
        <w:rPr>
          <w:rFonts w:ascii="Arial" w:hAnsi="Arial" w:cs="Arial"/>
          <w:szCs w:val="22"/>
        </w:rPr>
        <w:t xml:space="preserve">the development of more </w:t>
      </w:r>
      <w:r w:rsidR="000045A6">
        <w:rPr>
          <w:rFonts w:ascii="Arial" w:hAnsi="Arial" w:cs="Arial"/>
          <w:szCs w:val="22"/>
        </w:rPr>
        <w:t xml:space="preserve">effective local relationships between local government and universities. </w:t>
      </w:r>
    </w:p>
    <w:p w14:paraId="0C9BA666" w14:textId="77777777" w:rsidR="0019661E" w:rsidRDefault="0019661E" w:rsidP="0019661E">
      <w:pPr>
        <w:pStyle w:val="MainText"/>
        <w:spacing w:line="240" w:lineRule="auto"/>
        <w:ind w:left="360"/>
        <w:rPr>
          <w:rFonts w:ascii="Arial" w:hAnsi="Arial" w:cs="Arial"/>
          <w:szCs w:val="22"/>
        </w:rPr>
      </w:pPr>
    </w:p>
    <w:p w14:paraId="0C9BA667" w14:textId="77777777" w:rsidR="0019661E" w:rsidRDefault="0019661E" w:rsidP="00841D53">
      <w:pPr>
        <w:pStyle w:val="MainText"/>
        <w:numPr>
          <w:ilvl w:val="0"/>
          <w:numId w:val="1"/>
        </w:numPr>
        <w:spacing w:line="240" w:lineRule="auto"/>
        <w:rPr>
          <w:rFonts w:ascii="Arial" w:hAnsi="Arial" w:cs="Arial"/>
          <w:szCs w:val="22"/>
        </w:rPr>
      </w:pPr>
      <w:r>
        <w:rPr>
          <w:rFonts w:ascii="Arial" w:hAnsi="Arial" w:cs="Arial"/>
          <w:szCs w:val="22"/>
        </w:rPr>
        <w:t xml:space="preserve">The Board’s work took place during a </w:t>
      </w:r>
      <w:r w:rsidR="007C381C">
        <w:rPr>
          <w:rFonts w:ascii="Arial" w:hAnsi="Arial" w:cs="Arial"/>
          <w:szCs w:val="22"/>
        </w:rPr>
        <w:t xml:space="preserve">time of significant political change. The first meeting took place shortly after the EU referendum, and the final meeting was held in the wake of a lengthy purdah period due to local government and the first combined authority mayoral elections and a general election. The resultant changes in the national policy context have not only affected the </w:t>
      </w:r>
      <w:r w:rsidR="00CE6A10">
        <w:rPr>
          <w:rFonts w:ascii="Arial" w:hAnsi="Arial" w:cs="Arial"/>
          <w:szCs w:val="22"/>
        </w:rPr>
        <w:t>direction of existing policy work, but also Government’s capacity to engage in significant policy devel</w:t>
      </w:r>
      <w:r w:rsidR="00A51414">
        <w:rPr>
          <w:rFonts w:ascii="Arial" w:hAnsi="Arial" w:cs="Arial"/>
          <w:szCs w:val="22"/>
        </w:rPr>
        <w:t xml:space="preserve">opment and legislative activity. </w:t>
      </w:r>
      <w:r w:rsidR="005B6CF8">
        <w:rPr>
          <w:rFonts w:ascii="Arial" w:hAnsi="Arial" w:cs="Arial"/>
          <w:szCs w:val="22"/>
        </w:rPr>
        <w:t>While the full implications of these changes have yet to emerge, it seems clear that they</w:t>
      </w:r>
      <w:r w:rsidR="00A51414">
        <w:rPr>
          <w:rFonts w:ascii="Arial" w:hAnsi="Arial" w:cs="Arial"/>
          <w:szCs w:val="22"/>
        </w:rPr>
        <w:t xml:space="preserve"> </w:t>
      </w:r>
      <w:r w:rsidR="005B6CF8">
        <w:rPr>
          <w:rFonts w:ascii="Arial" w:hAnsi="Arial" w:cs="Arial"/>
          <w:szCs w:val="22"/>
        </w:rPr>
        <w:t xml:space="preserve">are </w:t>
      </w:r>
      <w:r w:rsidR="00A51414">
        <w:rPr>
          <w:rFonts w:ascii="Arial" w:hAnsi="Arial" w:cs="Arial"/>
          <w:szCs w:val="22"/>
        </w:rPr>
        <w:t xml:space="preserve">likely to have an impact on </w:t>
      </w:r>
      <w:r w:rsidR="00CE6A10">
        <w:rPr>
          <w:rFonts w:ascii="Arial" w:hAnsi="Arial" w:cs="Arial"/>
          <w:szCs w:val="22"/>
        </w:rPr>
        <w:t xml:space="preserve">the Board’s lobbying priorities. </w:t>
      </w:r>
    </w:p>
    <w:p w14:paraId="0C9BA668" w14:textId="77777777" w:rsidR="00CE6A10" w:rsidRDefault="00CE6A10" w:rsidP="00CE6A10">
      <w:pPr>
        <w:pStyle w:val="ListParagraph"/>
        <w:rPr>
          <w:rFonts w:ascii="Arial" w:hAnsi="Arial" w:cs="Arial"/>
          <w:szCs w:val="22"/>
        </w:rPr>
      </w:pPr>
    </w:p>
    <w:p w14:paraId="0C9BA669" w14:textId="77777777" w:rsidR="00877807" w:rsidRDefault="00CE6A10" w:rsidP="00841D53">
      <w:pPr>
        <w:pStyle w:val="MainText"/>
        <w:numPr>
          <w:ilvl w:val="0"/>
          <w:numId w:val="1"/>
        </w:numPr>
        <w:spacing w:line="240" w:lineRule="auto"/>
        <w:rPr>
          <w:rFonts w:ascii="Arial" w:hAnsi="Arial" w:cs="Arial"/>
          <w:szCs w:val="22"/>
        </w:rPr>
      </w:pPr>
      <w:r>
        <w:rPr>
          <w:rFonts w:ascii="Arial" w:hAnsi="Arial" w:cs="Arial"/>
          <w:szCs w:val="22"/>
        </w:rPr>
        <w:t xml:space="preserve">Given the cumulative effect of these changes, it is proposed that members </w:t>
      </w:r>
      <w:r w:rsidR="00ED03B9">
        <w:rPr>
          <w:rFonts w:ascii="Arial" w:hAnsi="Arial" w:cs="Arial"/>
          <w:szCs w:val="22"/>
        </w:rPr>
        <w:t>use</w:t>
      </w:r>
      <w:r>
        <w:rPr>
          <w:rFonts w:ascii="Arial" w:hAnsi="Arial" w:cs="Arial"/>
          <w:szCs w:val="22"/>
        </w:rPr>
        <w:t xml:space="preserve"> this first Board meeting to </w:t>
      </w:r>
      <w:r w:rsidR="00A731AA">
        <w:rPr>
          <w:rFonts w:ascii="Arial" w:hAnsi="Arial" w:cs="Arial"/>
          <w:szCs w:val="22"/>
        </w:rPr>
        <w:t xml:space="preserve">take stock of the progress and position of non-metropolitan devolution and </w:t>
      </w:r>
      <w:r>
        <w:rPr>
          <w:rFonts w:ascii="Arial" w:hAnsi="Arial" w:cs="Arial"/>
          <w:szCs w:val="22"/>
        </w:rPr>
        <w:t xml:space="preserve">have a free and open debate on how the Board should focus its activity in the coming year, particularly </w:t>
      </w:r>
      <w:r w:rsidR="00A731AA">
        <w:rPr>
          <w:rFonts w:ascii="Arial" w:hAnsi="Arial" w:cs="Arial"/>
          <w:szCs w:val="22"/>
        </w:rPr>
        <w:t>with</w:t>
      </w:r>
      <w:r w:rsidR="00912CC8">
        <w:rPr>
          <w:rFonts w:ascii="Arial" w:hAnsi="Arial" w:cs="Arial"/>
          <w:szCs w:val="22"/>
        </w:rPr>
        <w:t>in the context of Brexit and the upcoming Industrial Strategy</w:t>
      </w:r>
      <w:r>
        <w:rPr>
          <w:rFonts w:ascii="Arial" w:hAnsi="Arial" w:cs="Arial"/>
          <w:szCs w:val="22"/>
        </w:rPr>
        <w:t xml:space="preserve">. This paper </w:t>
      </w:r>
      <w:r w:rsidR="00877807">
        <w:rPr>
          <w:rFonts w:ascii="Arial" w:hAnsi="Arial" w:cs="Arial"/>
          <w:szCs w:val="22"/>
        </w:rPr>
        <w:t xml:space="preserve">suggests </w:t>
      </w:r>
      <w:r w:rsidR="000D425C">
        <w:rPr>
          <w:rFonts w:ascii="Arial" w:hAnsi="Arial" w:cs="Arial"/>
          <w:szCs w:val="22"/>
        </w:rPr>
        <w:t>a</w:t>
      </w:r>
      <w:r w:rsidR="00877807">
        <w:rPr>
          <w:rFonts w:ascii="Arial" w:hAnsi="Arial" w:cs="Arial"/>
          <w:szCs w:val="22"/>
        </w:rPr>
        <w:t xml:space="preserve"> work programme </w:t>
      </w:r>
      <w:r w:rsidR="000D425C">
        <w:rPr>
          <w:rFonts w:ascii="Arial" w:hAnsi="Arial" w:cs="Arial"/>
          <w:szCs w:val="22"/>
        </w:rPr>
        <w:t xml:space="preserve">that </w:t>
      </w:r>
      <w:r w:rsidR="00877807">
        <w:rPr>
          <w:rFonts w:ascii="Arial" w:hAnsi="Arial" w:cs="Arial"/>
          <w:szCs w:val="22"/>
        </w:rPr>
        <w:t>addresses the following:</w:t>
      </w:r>
    </w:p>
    <w:p w14:paraId="0C9BA66A" w14:textId="77777777" w:rsidR="00877807" w:rsidRDefault="00877807" w:rsidP="00E90EA8">
      <w:pPr>
        <w:pStyle w:val="ListParagraph"/>
        <w:rPr>
          <w:rFonts w:ascii="Arial" w:hAnsi="Arial" w:cs="Arial"/>
          <w:szCs w:val="22"/>
        </w:rPr>
      </w:pPr>
    </w:p>
    <w:p w14:paraId="6E0BA66B" w14:textId="20078625" w:rsidR="008F3C8D" w:rsidRPr="008F3C8D" w:rsidRDefault="00877807" w:rsidP="008F3C8D">
      <w:pPr>
        <w:pStyle w:val="MainText"/>
        <w:numPr>
          <w:ilvl w:val="1"/>
          <w:numId w:val="1"/>
        </w:numPr>
        <w:spacing w:line="240" w:lineRule="auto"/>
        <w:rPr>
          <w:rFonts w:ascii="Arial" w:hAnsi="Arial" w:cs="Arial"/>
          <w:szCs w:val="22"/>
        </w:rPr>
      </w:pPr>
      <w:r w:rsidRPr="00413E95">
        <w:rPr>
          <w:rFonts w:ascii="Arial" w:hAnsi="Arial" w:cs="Arial"/>
          <w:szCs w:val="22"/>
        </w:rPr>
        <w:t xml:space="preserve">A need, given the changing national policy context, to </w:t>
      </w:r>
      <w:r w:rsidR="00A731AA">
        <w:rPr>
          <w:rFonts w:ascii="Arial" w:hAnsi="Arial" w:cs="Arial"/>
          <w:szCs w:val="22"/>
        </w:rPr>
        <w:t>develop a refreshed case</w:t>
      </w:r>
      <w:r w:rsidR="00A731AA" w:rsidRPr="00413E95">
        <w:rPr>
          <w:rFonts w:ascii="Arial" w:hAnsi="Arial" w:cs="Arial"/>
          <w:szCs w:val="22"/>
        </w:rPr>
        <w:t xml:space="preserve"> </w:t>
      </w:r>
      <w:r w:rsidRPr="00413E95">
        <w:rPr>
          <w:rFonts w:ascii="Arial" w:hAnsi="Arial" w:cs="Arial"/>
          <w:szCs w:val="22"/>
        </w:rPr>
        <w:t xml:space="preserve">for devolution to non-metropolitan areas </w:t>
      </w:r>
      <w:r w:rsidR="00A731AA">
        <w:rPr>
          <w:rFonts w:ascii="Arial" w:hAnsi="Arial" w:cs="Arial"/>
          <w:szCs w:val="22"/>
        </w:rPr>
        <w:t>as part of local government’s wider role in shaping and supporting post-Brexit Britain</w:t>
      </w:r>
      <w:r w:rsidRPr="00413E95">
        <w:rPr>
          <w:rFonts w:ascii="Arial" w:hAnsi="Arial" w:cs="Arial"/>
          <w:szCs w:val="22"/>
        </w:rPr>
        <w:t>.</w:t>
      </w:r>
    </w:p>
    <w:p w14:paraId="6183A7D6" w14:textId="6621999E" w:rsidR="008F3C8D" w:rsidRPr="008F3C8D" w:rsidRDefault="000D425C" w:rsidP="008F3C8D">
      <w:pPr>
        <w:pStyle w:val="MainText"/>
        <w:numPr>
          <w:ilvl w:val="1"/>
          <w:numId w:val="1"/>
        </w:numPr>
        <w:spacing w:line="240" w:lineRule="auto"/>
        <w:rPr>
          <w:rFonts w:ascii="Arial" w:hAnsi="Arial" w:cs="Arial"/>
          <w:szCs w:val="22"/>
        </w:rPr>
      </w:pPr>
      <w:r w:rsidRPr="00413E95">
        <w:rPr>
          <w:rFonts w:ascii="Arial" w:hAnsi="Arial" w:cs="Arial"/>
          <w:szCs w:val="22"/>
        </w:rPr>
        <w:t>The steer from the Board at the end of the last cycle to concentrate on a department-by-department approach to devolution in the short term.</w:t>
      </w:r>
    </w:p>
    <w:p w14:paraId="0C9BA66D" w14:textId="77777777" w:rsidR="00877807" w:rsidRPr="00413E95" w:rsidRDefault="001B2601" w:rsidP="00E90EA8">
      <w:pPr>
        <w:pStyle w:val="MainText"/>
        <w:numPr>
          <w:ilvl w:val="1"/>
          <w:numId w:val="1"/>
        </w:numPr>
        <w:spacing w:line="240" w:lineRule="auto"/>
        <w:rPr>
          <w:rFonts w:ascii="Arial" w:hAnsi="Arial" w:cs="Arial"/>
          <w:szCs w:val="22"/>
        </w:rPr>
      </w:pPr>
      <w:r w:rsidRPr="00413E95">
        <w:rPr>
          <w:rFonts w:ascii="Arial" w:hAnsi="Arial" w:cs="Arial"/>
          <w:szCs w:val="22"/>
        </w:rPr>
        <w:t>A need to bring new partners on board in our campaigning work.</w:t>
      </w:r>
    </w:p>
    <w:p w14:paraId="0C9BA66E" w14:textId="77777777" w:rsidR="00903790" w:rsidRDefault="00903790" w:rsidP="00903790">
      <w:pPr>
        <w:pStyle w:val="ListParagraph"/>
        <w:rPr>
          <w:rFonts w:ascii="Arial" w:hAnsi="Arial" w:cs="Arial"/>
          <w:szCs w:val="22"/>
        </w:rPr>
      </w:pPr>
    </w:p>
    <w:p w14:paraId="0C9BA66F" w14:textId="77777777" w:rsidR="00903790" w:rsidRDefault="00903790" w:rsidP="00841D53">
      <w:pPr>
        <w:pStyle w:val="MainText"/>
        <w:numPr>
          <w:ilvl w:val="0"/>
          <w:numId w:val="1"/>
        </w:numPr>
        <w:spacing w:line="240" w:lineRule="auto"/>
        <w:rPr>
          <w:rFonts w:ascii="Arial" w:hAnsi="Arial" w:cs="Arial"/>
          <w:szCs w:val="22"/>
        </w:rPr>
      </w:pPr>
      <w:r>
        <w:rPr>
          <w:rFonts w:ascii="Arial" w:hAnsi="Arial" w:cs="Arial"/>
          <w:szCs w:val="22"/>
        </w:rPr>
        <w:t xml:space="preserve">Members </w:t>
      </w:r>
      <w:r w:rsidR="003521CA">
        <w:rPr>
          <w:rFonts w:ascii="Arial" w:hAnsi="Arial" w:cs="Arial"/>
          <w:szCs w:val="22"/>
        </w:rPr>
        <w:t xml:space="preserve">will also be aware that issues relevant to non-metropolitan authorities cut across many areas of the LGA’s work, but not are within the </w:t>
      </w:r>
      <w:r w:rsidR="00A51414">
        <w:rPr>
          <w:rFonts w:ascii="Arial" w:hAnsi="Arial" w:cs="Arial"/>
          <w:szCs w:val="22"/>
        </w:rPr>
        <w:t xml:space="preserve">direct </w:t>
      </w:r>
      <w:r w:rsidR="003521CA">
        <w:rPr>
          <w:rFonts w:ascii="Arial" w:hAnsi="Arial" w:cs="Arial"/>
          <w:szCs w:val="22"/>
        </w:rPr>
        <w:t xml:space="preserve">scope of this Board’s activities. </w:t>
      </w:r>
      <w:r w:rsidR="00CA4F80">
        <w:rPr>
          <w:rFonts w:ascii="Arial" w:hAnsi="Arial" w:cs="Arial"/>
          <w:szCs w:val="22"/>
        </w:rPr>
        <w:t>At the time of writing most Boards had yet to meet, but key topics include:</w:t>
      </w:r>
    </w:p>
    <w:p w14:paraId="0C9BA670" w14:textId="77777777" w:rsidR="00CA4F80" w:rsidRDefault="00CA4F80" w:rsidP="00CA4F80">
      <w:pPr>
        <w:pStyle w:val="MainText"/>
        <w:spacing w:line="240" w:lineRule="auto"/>
        <w:ind w:left="792"/>
        <w:rPr>
          <w:rFonts w:ascii="Arial" w:hAnsi="Arial" w:cs="Arial"/>
          <w:szCs w:val="22"/>
        </w:rPr>
      </w:pPr>
    </w:p>
    <w:p w14:paraId="075B6554" w14:textId="0D19D87F" w:rsidR="008F3C8D" w:rsidRPr="008F3C8D" w:rsidRDefault="00CA4F80" w:rsidP="008F3C8D">
      <w:pPr>
        <w:pStyle w:val="MainText"/>
        <w:numPr>
          <w:ilvl w:val="1"/>
          <w:numId w:val="1"/>
        </w:numPr>
        <w:spacing w:line="240" w:lineRule="auto"/>
        <w:rPr>
          <w:rFonts w:ascii="Arial" w:hAnsi="Arial" w:cs="Arial"/>
          <w:szCs w:val="22"/>
        </w:rPr>
      </w:pPr>
      <w:r>
        <w:rPr>
          <w:rFonts w:ascii="Arial" w:hAnsi="Arial" w:cs="Arial"/>
          <w:szCs w:val="22"/>
        </w:rPr>
        <w:t>Fairer Funding review – Resources Board</w:t>
      </w:r>
      <w:r w:rsidR="008F3C8D">
        <w:rPr>
          <w:rFonts w:ascii="Arial" w:hAnsi="Arial" w:cs="Arial"/>
          <w:szCs w:val="22"/>
        </w:rPr>
        <w:t>.</w:t>
      </w:r>
    </w:p>
    <w:p w14:paraId="79409373" w14:textId="5B72D8BA" w:rsidR="008F3C8D" w:rsidRPr="008F3C8D" w:rsidRDefault="00CA4F80" w:rsidP="008F3C8D">
      <w:pPr>
        <w:pStyle w:val="MainText"/>
        <w:numPr>
          <w:ilvl w:val="1"/>
          <w:numId w:val="1"/>
        </w:numPr>
        <w:spacing w:line="240" w:lineRule="auto"/>
        <w:rPr>
          <w:rFonts w:ascii="Arial" w:hAnsi="Arial" w:cs="Arial"/>
          <w:szCs w:val="22"/>
        </w:rPr>
      </w:pPr>
      <w:r>
        <w:rPr>
          <w:rFonts w:ascii="Arial" w:hAnsi="Arial" w:cs="Arial"/>
          <w:szCs w:val="22"/>
        </w:rPr>
        <w:t xml:space="preserve">Housing policy, including implementing the Housing White Paper – </w:t>
      </w:r>
      <w:r w:rsidR="00E1360A">
        <w:rPr>
          <w:rFonts w:ascii="Arial" w:hAnsi="Arial" w:cs="Arial"/>
          <w:szCs w:val="22"/>
        </w:rPr>
        <w:t>Environment</w:t>
      </w:r>
      <w:r w:rsidR="00E1360A">
        <w:rPr>
          <w:rFonts w:ascii="Arial" w:hAnsi="Arial" w:cs="Arial"/>
          <w:szCs w:val="22"/>
        </w:rPr>
        <w:t xml:space="preserve">, </w:t>
      </w:r>
      <w:r>
        <w:rPr>
          <w:rFonts w:ascii="Arial" w:hAnsi="Arial" w:cs="Arial"/>
          <w:szCs w:val="22"/>
        </w:rPr>
        <w:t xml:space="preserve">Economy, , Housing and Transport </w:t>
      </w:r>
      <w:r w:rsidR="00912CC8">
        <w:rPr>
          <w:rFonts w:ascii="Arial" w:hAnsi="Arial" w:cs="Arial"/>
          <w:szCs w:val="22"/>
        </w:rPr>
        <w:t xml:space="preserve">(EEHT) </w:t>
      </w:r>
      <w:r>
        <w:rPr>
          <w:rFonts w:ascii="Arial" w:hAnsi="Arial" w:cs="Arial"/>
          <w:szCs w:val="22"/>
        </w:rPr>
        <w:t>Board</w:t>
      </w:r>
      <w:r w:rsidR="008F3C8D">
        <w:rPr>
          <w:rFonts w:ascii="Arial" w:hAnsi="Arial" w:cs="Arial"/>
          <w:szCs w:val="22"/>
        </w:rPr>
        <w:t>.</w:t>
      </w:r>
    </w:p>
    <w:p w14:paraId="36EE90C1" w14:textId="173D7E52" w:rsidR="008F3C8D" w:rsidRPr="008F3C8D" w:rsidRDefault="00CA4F80" w:rsidP="008F3C8D">
      <w:pPr>
        <w:pStyle w:val="MainText"/>
        <w:numPr>
          <w:ilvl w:val="1"/>
          <w:numId w:val="1"/>
        </w:numPr>
        <w:spacing w:line="240" w:lineRule="auto"/>
        <w:rPr>
          <w:rFonts w:ascii="Arial" w:hAnsi="Arial" w:cs="Arial"/>
          <w:szCs w:val="22"/>
        </w:rPr>
      </w:pPr>
      <w:r>
        <w:rPr>
          <w:rFonts w:ascii="Arial" w:hAnsi="Arial" w:cs="Arial"/>
          <w:szCs w:val="22"/>
        </w:rPr>
        <w:t xml:space="preserve">Overall Brexit policy – cross-party task </w:t>
      </w:r>
      <w:r w:rsidR="00A731AA">
        <w:rPr>
          <w:rFonts w:ascii="Arial" w:hAnsi="Arial" w:cs="Arial"/>
          <w:szCs w:val="22"/>
        </w:rPr>
        <w:t xml:space="preserve">and finish </w:t>
      </w:r>
      <w:r>
        <w:rPr>
          <w:rFonts w:ascii="Arial" w:hAnsi="Arial" w:cs="Arial"/>
          <w:szCs w:val="22"/>
        </w:rPr>
        <w:t>group</w:t>
      </w:r>
      <w:r w:rsidR="001D30C3">
        <w:rPr>
          <w:rFonts w:ascii="Arial" w:hAnsi="Arial" w:cs="Arial"/>
          <w:szCs w:val="22"/>
        </w:rPr>
        <w:t xml:space="preserve"> with input from all Boards as required</w:t>
      </w:r>
      <w:r w:rsidR="008F3C8D">
        <w:rPr>
          <w:rFonts w:ascii="Arial" w:hAnsi="Arial" w:cs="Arial"/>
          <w:szCs w:val="22"/>
        </w:rPr>
        <w:t>.</w:t>
      </w:r>
    </w:p>
    <w:p w14:paraId="0C9BA674" w14:textId="7E432116" w:rsidR="00CA4F80" w:rsidRDefault="00CA4F80" w:rsidP="00CA4F80">
      <w:pPr>
        <w:pStyle w:val="MainText"/>
        <w:numPr>
          <w:ilvl w:val="1"/>
          <w:numId w:val="1"/>
        </w:numPr>
        <w:spacing w:line="240" w:lineRule="auto"/>
        <w:rPr>
          <w:rFonts w:ascii="Arial" w:hAnsi="Arial" w:cs="Arial"/>
          <w:szCs w:val="22"/>
        </w:rPr>
      </w:pPr>
      <w:r>
        <w:rPr>
          <w:rFonts w:ascii="Arial" w:hAnsi="Arial" w:cs="Arial"/>
          <w:szCs w:val="22"/>
        </w:rPr>
        <w:t>Overall response to the Industrial Strategy, growth policy – EEHT</w:t>
      </w:r>
      <w:r w:rsidR="009A2FC1">
        <w:rPr>
          <w:rFonts w:ascii="Arial" w:hAnsi="Arial" w:cs="Arial"/>
          <w:szCs w:val="22"/>
        </w:rPr>
        <w:t xml:space="preserve"> with input from the People and Places and City Regions Boards</w:t>
      </w:r>
      <w:r w:rsidR="008F3C8D">
        <w:rPr>
          <w:rFonts w:ascii="Arial" w:hAnsi="Arial" w:cs="Arial"/>
          <w:szCs w:val="22"/>
        </w:rPr>
        <w:t>.</w:t>
      </w:r>
    </w:p>
    <w:p w14:paraId="0E5946BD" w14:textId="30540873" w:rsidR="008F3C8D" w:rsidRPr="008F3C8D" w:rsidRDefault="001D30C3" w:rsidP="008F3C8D">
      <w:pPr>
        <w:pStyle w:val="MainText"/>
        <w:numPr>
          <w:ilvl w:val="1"/>
          <w:numId w:val="1"/>
        </w:numPr>
        <w:spacing w:line="240" w:lineRule="auto"/>
        <w:rPr>
          <w:rFonts w:ascii="Arial" w:hAnsi="Arial" w:cs="Arial"/>
          <w:szCs w:val="22"/>
        </w:rPr>
      </w:pPr>
      <w:r>
        <w:rPr>
          <w:rFonts w:ascii="Arial" w:hAnsi="Arial" w:cs="Arial"/>
          <w:szCs w:val="22"/>
        </w:rPr>
        <w:t xml:space="preserve">Grenfell Tower response – cross-party task </w:t>
      </w:r>
      <w:r w:rsidR="00A731AA">
        <w:rPr>
          <w:rFonts w:ascii="Arial" w:hAnsi="Arial" w:cs="Arial"/>
          <w:szCs w:val="22"/>
        </w:rPr>
        <w:t xml:space="preserve">and finish </w:t>
      </w:r>
      <w:r>
        <w:rPr>
          <w:rFonts w:ascii="Arial" w:hAnsi="Arial" w:cs="Arial"/>
          <w:szCs w:val="22"/>
        </w:rPr>
        <w:t>group with input from the EEHT and Safer Stronger Communities Boards</w:t>
      </w:r>
      <w:r w:rsidR="00344383">
        <w:rPr>
          <w:rFonts w:ascii="Arial" w:hAnsi="Arial" w:cs="Arial"/>
          <w:szCs w:val="22"/>
        </w:rPr>
        <w:t xml:space="preserve"> and Fir</w:t>
      </w:r>
      <w:r w:rsidR="008F3C8D">
        <w:rPr>
          <w:rFonts w:ascii="Arial" w:hAnsi="Arial" w:cs="Arial"/>
          <w:szCs w:val="22"/>
        </w:rPr>
        <w:t>e Services Management Committee.</w:t>
      </w:r>
    </w:p>
    <w:p w14:paraId="149A9B39" w14:textId="4B0A331C" w:rsidR="008F3C8D" w:rsidRPr="008F3C8D" w:rsidRDefault="00CA4F80" w:rsidP="008F3C8D">
      <w:pPr>
        <w:pStyle w:val="MainText"/>
        <w:numPr>
          <w:ilvl w:val="1"/>
          <w:numId w:val="1"/>
        </w:numPr>
        <w:spacing w:line="240" w:lineRule="auto"/>
        <w:rPr>
          <w:rFonts w:ascii="Arial" w:hAnsi="Arial" w:cs="Arial"/>
          <w:szCs w:val="22"/>
        </w:rPr>
      </w:pPr>
      <w:r>
        <w:rPr>
          <w:rFonts w:ascii="Arial" w:hAnsi="Arial" w:cs="Arial"/>
          <w:szCs w:val="22"/>
        </w:rPr>
        <w:t>Education – Children and Young People Board</w:t>
      </w:r>
      <w:r w:rsidR="008F3C8D">
        <w:rPr>
          <w:rFonts w:ascii="Arial" w:hAnsi="Arial" w:cs="Arial"/>
          <w:szCs w:val="22"/>
        </w:rPr>
        <w:t>.</w:t>
      </w:r>
    </w:p>
    <w:p w14:paraId="0C9BA677" w14:textId="0A02FBF1" w:rsidR="00CA4F80" w:rsidRDefault="00CA4F80" w:rsidP="00CA4F80">
      <w:pPr>
        <w:pStyle w:val="MainText"/>
        <w:numPr>
          <w:ilvl w:val="1"/>
          <w:numId w:val="1"/>
        </w:numPr>
        <w:spacing w:line="240" w:lineRule="auto"/>
        <w:rPr>
          <w:rFonts w:ascii="Arial" w:hAnsi="Arial" w:cs="Arial"/>
          <w:szCs w:val="22"/>
        </w:rPr>
      </w:pPr>
      <w:r>
        <w:rPr>
          <w:rFonts w:ascii="Arial" w:hAnsi="Arial" w:cs="Arial"/>
          <w:szCs w:val="22"/>
        </w:rPr>
        <w:t>Health, including Sustainability and Transformation Plans – Community Wellbeing Board</w:t>
      </w:r>
      <w:r w:rsidR="008F3C8D">
        <w:rPr>
          <w:rFonts w:ascii="Arial" w:hAnsi="Arial" w:cs="Arial"/>
          <w:szCs w:val="22"/>
        </w:rPr>
        <w:t>.</w:t>
      </w:r>
    </w:p>
    <w:p w14:paraId="0C9BA678" w14:textId="77777777" w:rsidR="00CA4F80" w:rsidRDefault="00CA4F80" w:rsidP="00CA4F80">
      <w:pPr>
        <w:pStyle w:val="MainText"/>
        <w:spacing w:line="240" w:lineRule="auto"/>
        <w:ind w:left="360"/>
        <w:rPr>
          <w:rFonts w:ascii="Arial" w:hAnsi="Arial" w:cs="Arial"/>
          <w:szCs w:val="22"/>
        </w:rPr>
      </w:pPr>
    </w:p>
    <w:p w14:paraId="0C9BA679" w14:textId="77777777" w:rsidR="00CA4F80" w:rsidRDefault="00CA4F80" w:rsidP="00036DA7">
      <w:pPr>
        <w:pStyle w:val="MainText"/>
        <w:spacing w:line="240" w:lineRule="auto"/>
        <w:ind w:left="360"/>
        <w:rPr>
          <w:rFonts w:ascii="Arial" w:hAnsi="Arial" w:cs="Arial"/>
          <w:szCs w:val="22"/>
        </w:rPr>
      </w:pPr>
      <w:r>
        <w:rPr>
          <w:rFonts w:ascii="Arial" w:hAnsi="Arial" w:cs="Arial"/>
          <w:szCs w:val="22"/>
        </w:rPr>
        <w:t>Members are encouraged to feed in non-metropolitan perspectives</w:t>
      </w:r>
      <w:r w:rsidR="00413E95">
        <w:rPr>
          <w:rFonts w:ascii="Arial" w:hAnsi="Arial" w:cs="Arial"/>
          <w:szCs w:val="22"/>
        </w:rPr>
        <w:t xml:space="preserve"> to these discussions</w:t>
      </w:r>
      <w:r>
        <w:rPr>
          <w:rFonts w:ascii="Arial" w:hAnsi="Arial" w:cs="Arial"/>
          <w:szCs w:val="22"/>
        </w:rPr>
        <w:t xml:space="preserve"> through their political groups.</w:t>
      </w:r>
    </w:p>
    <w:p w14:paraId="0C9BA67A" w14:textId="77777777" w:rsidR="00992E96" w:rsidRPr="0021114E" w:rsidRDefault="00992E96" w:rsidP="00841D53">
      <w:pPr>
        <w:pStyle w:val="MainText"/>
        <w:spacing w:line="240" w:lineRule="auto"/>
        <w:ind w:left="360"/>
        <w:rPr>
          <w:rFonts w:ascii="Arial" w:hAnsi="Arial" w:cs="Arial"/>
          <w:szCs w:val="22"/>
        </w:rPr>
      </w:pPr>
    </w:p>
    <w:p w14:paraId="0C9BA67B" w14:textId="77777777" w:rsidR="00992E96" w:rsidRDefault="008B3F8A" w:rsidP="00841D53">
      <w:pPr>
        <w:pStyle w:val="MainText"/>
        <w:spacing w:line="240" w:lineRule="auto"/>
        <w:rPr>
          <w:rFonts w:ascii="Arial" w:hAnsi="Arial" w:cs="Arial"/>
          <w:b/>
          <w:szCs w:val="22"/>
        </w:rPr>
      </w:pPr>
      <w:r>
        <w:rPr>
          <w:rFonts w:ascii="Arial" w:hAnsi="Arial" w:cs="Arial"/>
          <w:b/>
          <w:szCs w:val="22"/>
        </w:rPr>
        <w:t>The current devolution context</w:t>
      </w:r>
    </w:p>
    <w:p w14:paraId="0C9BA67C" w14:textId="77777777" w:rsidR="00ED03B9" w:rsidRDefault="00ED03B9" w:rsidP="00841D53">
      <w:pPr>
        <w:pStyle w:val="MainText"/>
        <w:spacing w:line="240" w:lineRule="auto"/>
        <w:rPr>
          <w:rFonts w:ascii="Arial" w:hAnsi="Arial" w:cs="Arial"/>
          <w:b/>
          <w:szCs w:val="22"/>
        </w:rPr>
      </w:pPr>
    </w:p>
    <w:p w14:paraId="0C9BA67D" w14:textId="0D4A9BC9" w:rsidR="00347710" w:rsidRDefault="00BC0A82" w:rsidP="00ED03B9">
      <w:pPr>
        <w:pStyle w:val="ListParagraph"/>
        <w:numPr>
          <w:ilvl w:val="0"/>
          <w:numId w:val="1"/>
        </w:numPr>
        <w:rPr>
          <w:rFonts w:ascii="Arial" w:hAnsi="Arial" w:cs="Arial"/>
          <w:szCs w:val="22"/>
        </w:rPr>
      </w:pPr>
      <w:r>
        <w:rPr>
          <w:rFonts w:ascii="Arial" w:hAnsi="Arial" w:cs="Arial"/>
          <w:szCs w:val="22"/>
        </w:rPr>
        <w:t>It is now two years since the then Government invited</w:t>
      </w:r>
      <w:r w:rsidR="007F418E">
        <w:rPr>
          <w:rFonts w:ascii="Arial" w:hAnsi="Arial" w:cs="Arial"/>
          <w:szCs w:val="22"/>
        </w:rPr>
        <w:t xml:space="preserve"> devolution</w:t>
      </w:r>
      <w:r>
        <w:rPr>
          <w:rFonts w:ascii="Arial" w:hAnsi="Arial" w:cs="Arial"/>
          <w:szCs w:val="22"/>
        </w:rPr>
        <w:t xml:space="preserve"> submissions</w:t>
      </w:r>
      <w:r w:rsidR="007F418E">
        <w:rPr>
          <w:rFonts w:ascii="Arial" w:hAnsi="Arial" w:cs="Arial"/>
          <w:szCs w:val="22"/>
        </w:rPr>
        <w:t xml:space="preserve"> from areas across the UK and a year and half since the Cities and Local Government Devolution Act 2016 passed into law. In that time devolution deals have been signed with </w:t>
      </w:r>
      <w:r w:rsidR="000C6511" w:rsidRPr="000C6511">
        <w:rPr>
          <w:rFonts w:ascii="Arial" w:hAnsi="Arial" w:cs="Arial"/>
          <w:szCs w:val="22"/>
        </w:rPr>
        <w:t>12</w:t>
      </w:r>
      <w:r w:rsidR="000C6511">
        <w:rPr>
          <w:rFonts w:ascii="Arial" w:hAnsi="Arial" w:cs="Arial"/>
          <w:szCs w:val="22"/>
        </w:rPr>
        <w:t xml:space="preserve"> areas, of which 9</w:t>
      </w:r>
      <w:r w:rsidR="007F418E">
        <w:rPr>
          <w:rFonts w:ascii="Arial" w:hAnsi="Arial" w:cs="Arial"/>
          <w:szCs w:val="22"/>
        </w:rPr>
        <w:t xml:space="preserve"> have progressed to implementation. </w:t>
      </w:r>
      <w:r w:rsidR="00E1360A">
        <w:rPr>
          <w:rFonts w:ascii="Arial" w:hAnsi="Arial" w:cs="Arial"/>
          <w:szCs w:val="22"/>
        </w:rPr>
        <w:t>Mayors were elected in 6</w:t>
      </w:r>
      <w:r w:rsidR="008614E9">
        <w:rPr>
          <w:rFonts w:ascii="Arial" w:hAnsi="Arial" w:cs="Arial"/>
          <w:szCs w:val="22"/>
        </w:rPr>
        <w:t xml:space="preserve"> combined authorities in May 2017</w:t>
      </w:r>
      <w:r w:rsidR="00347710">
        <w:rPr>
          <w:rFonts w:ascii="Arial" w:hAnsi="Arial" w:cs="Arial"/>
          <w:szCs w:val="22"/>
        </w:rPr>
        <w:t>, but</w:t>
      </w:r>
      <w:r w:rsidR="00C03461">
        <w:rPr>
          <w:rFonts w:ascii="Arial" w:hAnsi="Arial" w:cs="Arial"/>
          <w:szCs w:val="22"/>
        </w:rPr>
        <w:t xml:space="preserve"> thus far the</w:t>
      </w:r>
      <w:r w:rsidR="00347710">
        <w:rPr>
          <w:rFonts w:ascii="Arial" w:hAnsi="Arial" w:cs="Arial"/>
          <w:szCs w:val="22"/>
        </w:rPr>
        <w:t xml:space="preserve"> government has been reluctant to support proposals for devolution in areas that have not agreed to this form of devolved governance.</w:t>
      </w:r>
    </w:p>
    <w:p w14:paraId="0C9BA67E" w14:textId="77777777" w:rsidR="00912CC8" w:rsidRDefault="00912CC8" w:rsidP="001323AE">
      <w:pPr>
        <w:pStyle w:val="ListParagraph"/>
        <w:ind w:left="360"/>
        <w:rPr>
          <w:rFonts w:ascii="Arial" w:hAnsi="Arial" w:cs="Arial"/>
          <w:szCs w:val="22"/>
        </w:rPr>
      </w:pPr>
    </w:p>
    <w:p w14:paraId="0C9BA67F" w14:textId="77777777" w:rsidR="0069054C" w:rsidRDefault="0069054C" w:rsidP="0069054C">
      <w:pPr>
        <w:pStyle w:val="ListParagraph"/>
        <w:numPr>
          <w:ilvl w:val="0"/>
          <w:numId w:val="1"/>
        </w:numPr>
        <w:rPr>
          <w:rFonts w:ascii="Arial" w:hAnsi="Arial" w:cs="Arial"/>
          <w:szCs w:val="22"/>
        </w:rPr>
      </w:pPr>
      <w:r>
        <w:rPr>
          <w:rFonts w:ascii="Arial" w:hAnsi="Arial" w:cs="Arial"/>
          <w:szCs w:val="22"/>
        </w:rPr>
        <w:t xml:space="preserve">A number of areas continue to negotiate with Government with the intention of securing a devolution deal and setting up a combined authority, while others have looked to the upcoming Industrial Strategy white paper as an alternative framework for greater local empowerment. The LGA continues to provide improvement support to all areas interested in devolution, including those who have secured deals. </w:t>
      </w:r>
    </w:p>
    <w:p w14:paraId="0C9BA680" w14:textId="77777777" w:rsidR="0069054C" w:rsidRPr="001323AE" w:rsidRDefault="0069054C" w:rsidP="001323AE">
      <w:pPr>
        <w:rPr>
          <w:rFonts w:ascii="Arial" w:hAnsi="Arial" w:cs="Arial"/>
          <w:szCs w:val="22"/>
        </w:rPr>
      </w:pPr>
    </w:p>
    <w:p w14:paraId="0C9BA681" w14:textId="77777777" w:rsidR="001964B8" w:rsidRDefault="00912CC8" w:rsidP="001323AE">
      <w:pPr>
        <w:pStyle w:val="ListParagraph"/>
        <w:numPr>
          <w:ilvl w:val="0"/>
          <w:numId w:val="1"/>
        </w:numPr>
        <w:rPr>
          <w:rFonts w:ascii="Arial" w:hAnsi="Arial" w:cs="Arial"/>
          <w:szCs w:val="22"/>
        </w:rPr>
      </w:pPr>
      <w:r>
        <w:rPr>
          <w:rFonts w:ascii="Arial" w:hAnsi="Arial" w:cs="Arial"/>
          <w:szCs w:val="22"/>
        </w:rPr>
        <w:t>The Board has been at the forefront of the debate on devolution. As the initial deals with city regions were signed, the Board commissioned the Sir John Peace-led Independent Commission on Economic Growth and the Future of Public Services in Non-Metropolitan England to make the case for non-metropolitan areas.</w:t>
      </w:r>
    </w:p>
    <w:p w14:paraId="0C9BA682" w14:textId="77777777" w:rsidR="001964B8" w:rsidRPr="001323AE" w:rsidRDefault="001964B8" w:rsidP="001323AE">
      <w:pPr>
        <w:pStyle w:val="ListParagraph"/>
        <w:rPr>
          <w:rFonts w:ascii="Arial" w:hAnsi="Arial" w:cs="Arial"/>
          <w:szCs w:val="22"/>
        </w:rPr>
      </w:pPr>
    </w:p>
    <w:p w14:paraId="0C9BA683" w14:textId="77777777" w:rsidR="00347710" w:rsidRPr="001323AE" w:rsidRDefault="00912CC8" w:rsidP="001323AE">
      <w:pPr>
        <w:pStyle w:val="ListParagraph"/>
        <w:numPr>
          <w:ilvl w:val="0"/>
          <w:numId w:val="1"/>
        </w:numPr>
        <w:rPr>
          <w:rFonts w:ascii="Arial" w:hAnsi="Arial" w:cs="Arial"/>
          <w:szCs w:val="22"/>
        </w:rPr>
      </w:pPr>
      <w:r>
        <w:rPr>
          <w:rFonts w:ascii="Arial" w:hAnsi="Arial" w:cs="Arial"/>
          <w:szCs w:val="22"/>
        </w:rPr>
        <w:t>We have consistently worked with councils</w:t>
      </w:r>
      <w:r w:rsidR="0069054C">
        <w:rPr>
          <w:rFonts w:ascii="Arial" w:hAnsi="Arial" w:cs="Arial"/>
          <w:szCs w:val="22"/>
        </w:rPr>
        <w:t xml:space="preserve"> to help them make progress and to articulate their offer, and made the case for a more f</w:t>
      </w:r>
      <w:r w:rsidR="00B51128">
        <w:rPr>
          <w:rFonts w:ascii="Arial" w:hAnsi="Arial" w:cs="Arial"/>
          <w:szCs w:val="22"/>
        </w:rPr>
        <w:t xml:space="preserve">lexible approach to governance. The Board has sought to influence Government policy at key points, such as the introduction of the Cities and Local Government Devolution Bill and announcements such as the Budget and Autumn Statement. </w:t>
      </w:r>
      <w:r w:rsidR="0069054C">
        <w:rPr>
          <w:rFonts w:ascii="Arial" w:hAnsi="Arial" w:cs="Arial"/>
          <w:szCs w:val="22"/>
        </w:rPr>
        <w:t xml:space="preserve"> </w:t>
      </w:r>
      <w:r w:rsidR="00A4667B">
        <w:rPr>
          <w:rFonts w:ascii="Arial" w:hAnsi="Arial" w:cs="Arial"/>
          <w:szCs w:val="22"/>
        </w:rPr>
        <w:t xml:space="preserve">The Board has also campaigned on specific elements such as skills and employment support. </w:t>
      </w:r>
    </w:p>
    <w:p w14:paraId="0C9BA684" w14:textId="77777777" w:rsidR="005F280C" w:rsidRDefault="005F280C" w:rsidP="005F280C">
      <w:pPr>
        <w:pStyle w:val="ListParagraph"/>
        <w:ind w:left="360"/>
        <w:rPr>
          <w:rFonts w:ascii="Arial" w:hAnsi="Arial" w:cs="Arial"/>
          <w:szCs w:val="22"/>
        </w:rPr>
      </w:pPr>
    </w:p>
    <w:p w14:paraId="0C9BA685" w14:textId="77777777" w:rsidR="001964B8" w:rsidRDefault="005F280C" w:rsidP="00C03461">
      <w:pPr>
        <w:pStyle w:val="ListParagraph"/>
        <w:numPr>
          <w:ilvl w:val="0"/>
          <w:numId w:val="1"/>
        </w:numPr>
        <w:rPr>
          <w:rFonts w:ascii="Arial" w:hAnsi="Arial" w:cs="Arial"/>
          <w:szCs w:val="22"/>
        </w:rPr>
      </w:pPr>
      <w:r>
        <w:rPr>
          <w:rFonts w:ascii="Arial" w:hAnsi="Arial" w:cs="Arial"/>
          <w:szCs w:val="22"/>
        </w:rPr>
        <w:t>The Conservative manifesto co</w:t>
      </w:r>
      <w:r w:rsidR="00C03461">
        <w:rPr>
          <w:rFonts w:ascii="Arial" w:hAnsi="Arial" w:cs="Arial"/>
          <w:szCs w:val="22"/>
        </w:rPr>
        <w:t>ntained a commitment</w:t>
      </w:r>
      <w:r>
        <w:rPr>
          <w:rFonts w:ascii="Arial" w:hAnsi="Arial" w:cs="Arial"/>
          <w:szCs w:val="22"/>
        </w:rPr>
        <w:t xml:space="preserve"> to </w:t>
      </w:r>
      <w:r w:rsidR="00C03461">
        <w:rPr>
          <w:rFonts w:ascii="Arial" w:hAnsi="Arial" w:cs="Arial"/>
          <w:szCs w:val="22"/>
        </w:rPr>
        <w:t>consolidating</w:t>
      </w:r>
      <w:r w:rsidR="00C03461" w:rsidRPr="00C03461">
        <w:rPr>
          <w:rFonts w:ascii="Arial" w:hAnsi="Arial" w:cs="Arial"/>
          <w:szCs w:val="22"/>
        </w:rPr>
        <w:t xml:space="preserve"> </w:t>
      </w:r>
      <w:r w:rsidR="00C03461">
        <w:rPr>
          <w:rFonts w:ascii="Arial" w:hAnsi="Arial" w:cs="Arial"/>
          <w:szCs w:val="22"/>
        </w:rPr>
        <w:t>the</w:t>
      </w:r>
      <w:r w:rsidR="00C03461" w:rsidRPr="00C03461">
        <w:rPr>
          <w:rFonts w:ascii="Arial" w:hAnsi="Arial" w:cs="Arial"/>
          <w:szCs w:val="22"/>
        </w:rPr>
        <w:t xml:space="preserve"> </w:t>
      </w:r>
      <w:r w:rsidR="00C03461">
        <w:rPr>
          <w:rFonts w:ascii="Arial" w:hAnsi="Arial" w:cs="Arial"/>
          <w:szCs w:val="22"/>
        </w:rPr>
        <w:t xml:space="preserve">government’s </w:t>
      </w:r>
      <w:r w:rsidR="00C03461" w:rsidRPr="00C03461">
        <w:rPr>
          <w:rFonts w:ascii="Arial" w:hAnsi="Arial" w:cs="Arial"/>
          <w:szCs w:val="22"/>
        </w:rPr>
        <w:t>approach</w:t>
      </w:r>
      <w:r w:rsidR="00C03461">
        <w:rPr>
          <w:rFonts w:ascii="Arial" w:hAnsi="Arial" w:cs="Arial"/>
          <w:szCs w:val="22"/>
        </w:rPr>
        <w:t xml:space="preserve"> to devolution</w:t>
      </w:r>
      <w:r w:rsidR="00C03461" w:rsidRPr="00C03461">
        <w:rPr>
          <w:rFonts w:ascii="Arial" w:hAnsi="Arial" w:cs="Arial"/>
          <w:szCs w:val="22"/>
        </w:rPr>
        <w:t>, providing clarity across England on what devolution means for different administrations so all authoritie</w:t>
      </w:r>
      <w:r w:rsidR="00C03461">
        <w:rPr>
          <w:rFonts w:ascii="Arial" w:hAnsi="Arial" w:cs="Arial"/>
          <w:szCs w:val="22"/>
        </w:rPr>
        <w:t>s operate in a common framework.</w:t>
      </w:r>
      <w:r w:rsidR="00C03461" w:rsidRPr="00C03461">
        <w:rPr>
          <w:rFonts w:ascii="Arial" w:hAnsi="Arial" w:cs="Arial"/>
          <w:szCs w:val="22"/>
        </w:rPr>
        <w:t xml:space="preserve"> </w:t>
      </w:r>
      <w:r w:rsidR="00C03461">
        <w:rPr>
          <w:rFonts w:ascii="Arial" w:hAnsi="Arial" w:cs="Arial"/>
          <w:szCs w:val="22"/>
        </w:rPr>
        <w:t>It also proposed to</w:t>
      </w:r>
      <w:r>
        <w:rPr>
          <w:rFonts w:ascii="Arial" w:hAnsi="Arial" w:cs="Arial"/>
          <w:szCs w:val="22"/>
        </w:rPr>
        <w:t xml:space="preserve"> remove the requirement for non-metropolitan areas to agree to a mayor as part of devolution negotiations.</w:t>
      </w:r>
    </w:p>
    <w:p w14:paraId="0C9BA686" w14:textId="77777777" w:rsidR="001964B8" w:rsidRDefault="001964B8" w:rsidP="001323AE">
      <w:pPr>
        <w:pStyle w:val="ListParagraph"/>
        <w:ind w:left="360"/>
        <w:rPr>
          <w:rFonts w:ascii="Arial" w:hAnsi="Arial" w:cs="Arial"/>
          <w:szCs w:val="22"/>
        </w:rPr>
      </w:pPr>
    </w:p>
    <w:p w14:paraId="0C9BA687" w14:textId="77777777" w:rsidR="005F280C" w:rsidRDefault="005F280C" w:rsidP="00C03461">
      <w:pPr>
        <w:pStyle w:val="ListParagraph"/>
        <w:numPr>
          <w:ilvl w:val="0"/>
          <w:numId w:val="1"/>
        </w:numPr>
        <w:rPr>
          <w:rFonts w:ascii="Arial" w:hAnsi="Arial" w:cs="Arial"/>
          <w:szCs w:val="22"/>
        </w:rPr>
      </w:pPr>
      <w:r>
        <w:rPr>
          <w:rFonts w:ascii="Arial" w:hAnsi="Arial" w:cs="Arial"/>
          <w:szCs w:val="22"/>
        </w:rPr>
        <w:t xml:space="preserve">In recent weeks Ministers have become more vocal in their support for devolution, </w:t>
      </w:r>
      <w:r w:rsidR="00BB2760">
        <w:rPr>
          <w:rFonts w:ascii="Arial" w:hAnsi="Arial" w:cs="Arial"/>
          <w:szCs w:val="22"/>
        </w:rPr>
        <w:t xml:space="preserve">particularly within the Northern Powerhouse. A supplementary devolution deal with the West Midlands Combined Authority is also being </w:t>
      </w:r>
      <w:r w:rsidR="00A51414">
        <w:rPr>
          <w:rFonts w:ascii="Arial" w:hAnsi="Arial" w:cs="Arial"/>
          <w:szCs w:val="22"/>
        </w:rPr>
        <w:t>publicly</w:t>
      </w:r>
      <w:r w:rsidR="00BB2760">
        <w:rPr>
          <w:rFonts w:ascii="Arial" w:hAnsi="Arial" w:cs="Arial"/>
          <w:szCs w:val="22"/>
        </w:rPr>
        <w:t xml:space="preserve"> discussed, and a health devolution deal with Surrey </w:t>
      </w:r>
      <w:r w:rsidR="00A51414">
        <w:rPr>
          <w:rFonts w:ascii="Arial" w:hAnsi="Arial" w:cs="Arial"/>
          <w:szCs w:val="22"/>
        </w:rPr>
        <w:t>has been</w:t>
      </w:r>
      <w:r w:rsidR="00BB2760">
        <w:rPr>
          <w:rFonts w:ascii="Arial" w:hAnsi="Arial" w:cs="Arial"/>
          <w:szCs w:val="22"/>
        </w:rPr>
        <w:t xml:space="preserve"> announced. At the same time, some elements of devolution deals, namely </w:t>
      </w:r>
      <w:r w:rsidR="00CC7B95">
        <w:rPr>
          <w:rFonts w:ascii="Arial" w:hAnsi="Arial" w:cs="Arial"/>
          <w:szCs w:val="22"/>
        </w:rPr>
        <w:t xml:space="preserve">health devolution to London and </w:t>
      </w:r>
      <w:r w:rsidR="00BB2760">
        <w:rPr>
          <w:rFonts w:ascii="Arial" w:hAnsi="Arial" w:cs="Arial"/>
          <w:szCs w:val="22"/>
        </w:rPr>
        <w:t xml:space="preserve">devolution of the Adult Education Budget </w:t>
      </w:r>
      <w:r w:rsidR="00D171C8">
        <w:rPr>
          <w:rFonts w:ascii="Arial" w:hAnsi="Arial" w:cs="Arial"/>
          <w:szCs w:val="22"/>
        </w:rPr>
        <w:t xml:space="preserve">to deal areas </w:t>
      </w:r>
      <w:r w:rsidR="00BB2760">
        <w:rPr>
          <w:rFonts w:ascii="Arial" w:hAnsi="Arial" w:cs="Arial"/>
          <w:szCs w:val="22"/>
        </w:rPr>
        <w:t>have stalled.</w:t>
      </w:r>
    </w:p>
    <w:p w14:paraId="0C9BA688" w14:textId="77777777" w:rsidR="008B3F8A" w:rsidRDefault="008B3F8A" w:rsidP="001323AE">
      <w:pPr>
        <w:rPr>
          <w:rFonts w:ascii="Arial" w:hAnsi="Arial" w:cs="Arial"/>
          <w:szCs w:val="22"/>
        </w:rPr>
      </w:pPr>
    </w:p>
    <w:p w14:paraId="0C9BA689" w14:textId="77777777" w:rsidR="001964B8" w:rsidRDefault="001964B8">
      <w:pPr>
        <w:spacing w:after="160" w:line="259" w:lineRule="auto"/>
        <w:rPr>
          <w:rFonts w:ascii="Arial" w:hAnsi="Arial" w:cs="Arial"/>
          <w:b/>
          <w:szCs w:val="22"/>
        </w:rPr>
      </w:pPr>
      <w:r>
        <w:rPr>
          <w:rFonts w:ascii="Arial" w:hAnsi="Arial" w:cs="Arial"/>
          <w:b/>
          <w:szCs w:val="22"/>
        </w:rPr>
        <w:br w:type="page"/>
      </w:r>
    </w:p>
    <w:p w14:paraId="0C9BA68A" w14:textId="77777777" w:rsidR="008B3F8A" w:rsidRPr="001323AE" w:rsidRDefault="008B3F8A" w:rsidP="001323AE">
      <w:pPr>
        <w:rPr>
          <w:rFonts w:ascii="Arial" w:hAnsi="Arial" w:cs="Arial"/>
          <w:szCs w:val="22"/>
        </w:rPr>
      </w:pPr>
      <w:r>
        <w:rPr>
          <w:rFonts w:ascii="Arial" w:hAnsi="Arial" w:cs="Arial"/>
          <w:b/>
          <w:szCs w:val="22"/>
        </w:rPr>
        <w:lastRenderedPageBreak/>
        <w:t>Next steps on devolution</w:t>
      </w:r>
    </w:p>
    <w:p w14:paraId="0C9BA68B" w14:textId="77777777" w:rsidR="008B3F8A" w:rsidRPr="001323AE" w:rsidRDefault="008B3F8A" w:rsidP="001323AE">
      <w:pPr>
        <w:pStyle w:val="ListParagraph"/>
        <w:rPr>
          <w:rFonts w:ascii="Arial" w:hAnsi="Arial" w:cs="Arial"/>
          <w:szCs w:val="22"/>
        </w:rPr>
      </w:pPr>
    </w:p>
    <w:p w14:paraId="0C9BA68C" w14:textId="77777777" w:rsidR="001F56E0" w:rsidRDefault="001F56E0">
      <w:pPr>
        <w:pStyle w:val="ListParagraph"/>
        <w:numPr>
          <w:ilvl w:val="0"/>
          <w:numId w:val="1"/>
        </w:numPr>
        <w:rPr>
          <w:rFonts w:ascii="Arial" w:hAnsi="Arial" w:cs="Arial"/>
          <w:szCs w:val="22"/>
        </w:rPr>
      </w:pPr>
      <w:r>
        <w:rPr>
          <w:rFonts w:ascii="Arial" w:hAnsi="Arial" w:cs="Arial"/>
          <w:szCs w:val="22"/>
        </w:rPr>
        <w:t xml:space="preserve">Ministerial and civil servant capacity will be focused on Brexit in the coming months and years. While it is expected that members will want the LGA to continue to press for policy gains in the Board’s priority areas, there is also the opportunity to use </w:t>
      </w:r>
      <w:r w:rsidR="000B71DE">
        <w:rPr>
          <w:rFonts w:ascii="Arial" w:hAnsi="Arial" w:cs="Arial"/>
          <w:szCs w:val="22"/>
        </w:rPr>
        <w:t xml:space="preserve">this time </w:t>
      </w:r>
      <w:r>
        <w:rPr>
          <w:rFonts w:ascii="Arial" w:hAnsi="Arial" w:cs="Arial"/>
          <w:szCs w:val="22"/>
        </w:rPr>
        <w:t xml:space="preserve">to consider the challenges and opportunities facing the UK and England once the UK has left the EU and in the run-up to the next general election. Within this, there is the opportunity to re-position non-metropolitan councils as </w:t>
      </w:r>
      <w:r w:rsidR="001964B8">
        <w:rPr>
          <w:rFonts w:ascii="Arial" w:hAnsi="Arial" w:cs="Arial"/>
          <w:szCs w:val="22"/>
        </w:rPr>
        <w:t>a key component of a successful post-Brexit Britain</w:t>
      </w:r>
      <w:r>
        <w:rPr>
          <w:rFonts w:ascii="Arial" w:hAnsi="Arial" w:cs="Arial"/>
          <w:szCs w:val="22"/>
        </w:rPr>
        <w:t xml:space="preserve"> </w:t>
      </w:r>
      <w:r w:rsidR="001964B8">
        <w:rPr>
          <w:rFonts w:ascii="Arial" w:hAnsi="Arial" w:cs="Arial"/>
          <w:szCs w:val="22"/>
        </w:rPr>
        <w:t>and in turn win powers as part of a new ‘English settlement’.</w:t>
      </w:r>
      <w:r>
        <w:rPr>
          <w:rFonts w:ascii="Arial" w:hAnsi="Arial" w:cs="Arial"/>
          <w:szCs w:val="22"/>
        </w:rPr>
        <w:t xml:space="preserve"> </w:t>
      </w:r>
    </w:p>
    <w:p w14:paraId="0C9BA68D" w14:textId="77777777" w:rsidR="001F56E0" w:rsidRDefault="001F56E0" w:rsidP="001323AE">
      <w:pPr>
        <w:pStyle w:val="ListParagraph"/>
        <w:ind w:left="360"/>
        <w:rPr>
          <w:rFonts w:ascii="Arial" w:hAnsi="Arial" w:cs="Arial"/>
          <w:szCs w:val="22"/>
        </w:rPr>
      </w:pPr>
    </w:p>
    <w:p w14:paraId="0C9BA68E" w14:textId="77777777" w:rsidR="000B71DE" w:rsidRPr="001323AE" w:rsidRDefault="00751BC2">
      <w:pPr>
        <w:pStyle w:val="ListParagraph"/>
        <w:numPr>
          <w:ilvl w:val="0"/>
          <w:numId w:val="1"/>
        </w:numPr>
        <w:rPr>
          <w:rFonts w:ascii="Arial" w:hAnsi="Arial" w:cs="Arial"/>
          <w:szCs w:val="22"/>
        </w:rPr>
      </w:pPr>
      <w:r>
        <w:rPr>
          <w:rFonts w:ascii="Arial" w:hAnsi="Arial" w:cs="Arial"/>
          <w:szCs w:val="22"/>
        </w:rPr>
        <w:t>M</w:t>
      </w:r>
      <w:r w:rsidR="003071E8">
        <w:rPr>
          <w:rFonts w:ascii="Arial" w:hAnsi="Arial" w:cs="Arial"/>
          <w:szCs w:val="22"/>
        </w:rPr>
        <w:t>any big issues facing the economy, including improving productivity and inclusive growth and closing the skills gap need to be addressed and may become more acute in the years immediately following Brexit. New challenges and opportunities, such as forging a wide range of trade and investment relationships</w:t>
      </w:r>
      <w:r w:rsidR="001F56E0">
        <w:rPr>
          <w:rFonts w:ascii="Arial" w:hAnsi="Arial" w:cs="Arial"/>
          <w:szCs w:val="22"/>
        </w:rPr>
        <w:t xml:space="preserve"> to ensure the UK’s global competitiveness</w:t>
      </w:r>
      <w:r w:rsidR="003071E8">
        <w:rPr>
          <w:rFonts w:ascii="Arial" w:hAnsi="Arial" w:cs="Arial"/>
          <w:szCs w:val="22"/>
        </w:rPr>
        <w:t xml:space="preserve">, will develop. </w:t>
      </w:r>
      <w:r w:rsidR="001F56E0">
        <w:rPr>
          <w:rFonts w:ascii="Arial" w:hAnsi="Arial" w:cs="Arial"/>
          <w:szCs w:val="22"/>
        </w:rPr>
        <w:t>In the run-up to a future election, the Government will also be keen to demonstrate to voters that their lives have improved outside the EU. Local government has the skills and experience to be able to address these issues and provide local solutions to boost UK plc</w:t>
      </w:r>
      <w:r w:rsidRPr="001323AE">
        <w:rPr>
          <w:rFonts w:ascii="Arial" w:hAnsi="Arial" w:cs="Arial"/>
          <w:szCs w:val="22"/>
        </w:rPr>
        <w:t xml:space="preserve">, if Government will free up the levers for us to do so. </w:t>
      </w:r>
      <w:r w:rsidR="000B71DE" w:rsidRPr="001323AE">
        <w:rPr>
          <w:rFonts w:ascii="Arial" w:hAnsi="Arial" w:cs="Arial"/>
          <w:szCs w:val="22"/>
        </w:rPr>
        <w:t>The ongoing Brexit negotiations could give a platform to lay the building blocks for delivering our</w:t>
      </w:r>
      <w:r w:rsidR="006375C3">
        <w:rPr>
          <w:rFonts w:ascii="Arial" w:hAnsi="Arial" w:cs="Arial"/>
          <w:szCs w:val="22"/>
        </w:rPr>
        <w:t xml:space="preserve"> devolution</w:t>
      </w:r>
      <w:r w:rsidR="000B71DE" w:rsidRPr="001323AE">
        <w:rPr>
          <w:rFonts w:ascii="Arial" w:hAnsi="Arial" w:cs="Arial"/>
          <w:szCs w:val="22"/>
        </w:rPr>
        <w:t xml:space="preserve"> asks as part of the LGA’s broader lobbying around Brexit.</w:t>
      </w:r>
      <w:r w:rsidR="006375C3">
        <w:rPr>
          <w:rFonts w:ascii="Arial" w:hAnsi="Arial" w:cs="Arial"/>
          <w:szCs w:val="22"/>
        </w:rPr>
        <w:t xml:space="preserve"> A summary of this work is included at Annex A. </w:t>
      </w:r>
    </w:p>
    <w:p w14:paraId="0C9BA68F" w14:textId="77777777" w:rsidR="002F3971" w:rsidRPr="001323AE" w:rsidRDefault="002F3971" w:rsidP="001323AE">
      <w:pPr>
        <w:pStyle w:val="ListParagraph"/>
        <w:rPr>
          <w:rFonts w:ascii="Arial" w:hAnsi="Arial" w:cs="Arial"/>
          <w:szCs w:val="22"/>
        </w:rPr>
      </w:pPr>
    </w:p>
    <w:p w14:paraId="0C9BA690" w14:textId="77777777" w:rsidR="00324978" w:rsidRDefault="002619FC" w:rsidP="00E90EA8">
      <w:pPr>
        <w:pStyle w:val="ListParagraph"/>
        <w:numPr>
          <w:ilvl w:val="0"/>
          <w:numId w:val="1"/>
        </w:numPr>
        <w:rPr>
          <w:rFonts w:ascii="Arial" w:hAnsi="Arial" w:cs="Arial"/>
          <w:szCs w:val="22"/>
        </w:rPr>
      </w:pPr>
      <w:r>
        <w:rPr>
          <w:rFonts w:ascii="Arial" w:hAnsi="Arial" w:cs="Arial"/>
          <w:szCs w:val="22"/>
        </w:rPr>
        <w:t>With</w:t>
      </w:r>
      <w:r w:rsidR="00B51128">
        <w:rPr>
          <w:rFonts w:ascii="Arial" w:hAnsi="Arial" w:cs="Arial"/>
          <w:szCs w:val="22"/>
        </w:rPr>
        <w:t xml:space="preserve">in this context, </w:t>
      </w:r>
      <w:r>
        <w:rPr>
          <w:rFonts w:ascii="Arial" w:hAnsi="Arial" w:cs="Arial"/>
          <w:szCs w:val="22"/>
        </w:rPr>
        <w:t xml:space="preserve">members might like to consider whether they would like to </w:t>
      </w:r>
      <w:r w:rsidR="00B51128">
        <w:rPr>
          <w:rFonts w:ascii="Arial" w:hAnsi="Arial" w:cs="Arial"/>
          <w:szCs w:val="22"/>
        </w:rPr>
        <w:t xml:space="preserve">lead </w:t>
      </w:r>
      <w:r>
        <w:rPr>
          <w:rFonts w:ascii="Arial" w:hAnsi="Arial" w:cs="Arial"/>
          <w:szCs w:val="22"/>
        </w:rPr>
        <w:t xml:space="preserve">a new piece of work </w:t>
      </w:r>
      <w:r w:rsidR="000B71DE">
        <w:rPr>
          <w:rFonts w:ascii="Arial" w:hAnsi="Arial" w:cs="Arial"/>
          <w:szCs w:val="22"/>
        </w:rPr>
        <w:t xml:space="preserve">setting out the case for </w:t>
      </w:r>
      <w:r w:rsidR="00A22F60">
        <w:rPr>
          <w:rFonts w:ascii="Arial" w:hAnsi="Arial" w:cs="Arial"/>
          <w:szCs w:val="22"/>
        </w:rPr>
        <w:t xml:space="preserve">greater </w:t>
      </w:r>
      <w:r w:rsidR="00DD00C3">
        <w:rPr>
          <w:rFonts w:ascii="Arial" w:hAnsi="Arial" w:cs="Arial"/>
          <w:szCs w:val="22"/>
        </w:rPr>
        <w:t xml:space="preserve">and appropriately funded </w:t>
      </w:r>
      <w:r w:rsidR="00A22F60">
        <w:rPr>
          <w:rFonts w:ascii="Arial" w:hAnsi="Arial" w:cs="Arial"/>
          <w:szCs w:val="22"/>
        </w:rPr>
        <w:t xml:space="preserve">powers and flexibilities </w:t>
      </w:r>
      <w:r w:rsidR="00AF6BAD">
        <w:rPr>
          <w:rFonts w:ascii="Arial" w:hAnsi="Arial" w:cs="Arial"/>
          <w:szCs w:val="22"/>
        </w:rPr>
        <w:t xml:space="preserve">for </w:t>
      </w:r>
      <w:r w:rsidR="000B71DE">
        <w:rPr>
          <w:rFonts w:ascii="Arial" w:hAnsi="Arial" w:cs="Arial"/>
          <w:szCs w:val="22"/>
        </w:rPr>
        <w:t>non-metropolitan areas</w:t>
      </w:r>
      <w:r w:rsidR="00A22F60">
        <w:rPr>
          <w:rFonts w:ascii="Arial" w:hAnsi="Arial" w:cs="Arial"/>
          <w:szCs w:val="22"/>
        </w:rPr>
        <w:t xml:space="preserve"> in England outside the EU</w:t>
      </w:r>
      <w:r w:rsidR="000B71DE">
        <w:rPr>
          <w:rFonts w:ascii="Arial" w:hAnsi="Arial" w:cs="Arial"/>
          <w:szCs w:val="22"/>
        </w:rPr>
        <w:t>.</w:t>
      </w:r>
      <w:r>
        <w:rPr>
          <w:rFonts w:ascii="Arial" w:hAnsi="Arial" w:cs="Arial"/>
          <w:szCs w:val="22"/>
        </w:rPr>
        <w:t xml:space="preserve"> This would be in line with the LGA’s </w:t>
      </w:r>
      <w:r w:rsidR="000B71DE">
        <w:rPr>
          <w:rFonts w:ascii="Arial" w:hAnsi="Arial" w:cs="Arial"/>
          <w:szCs w:val="22"/>
        </w:rPr>
        <w:t>support for</w:t>
      </w:r>
      <w:r>
        <w:rPr>
          <w:rFonts w:ascii="Arial" w:hAnsi="Arial" w:cs="Arial"/>
          <w:szCs w:val="22"/>
        </w:rPr>
        <w:t xml:space="preserve"> a ‘differential devolution’ process that supports those further ahead to continue to break new ground, while working to extend the benefits of devolution to all. </w:t>
      </w:r>
      <w:r w:rsidR="00B51128">
        <w:rPr>
          <w:rFonts w:ascii="Arial" w:hAnsi="Arial" w:cs="Arial"/>
          <w:szCs w:val="22"/>
        </w:rPr>
        <w:t>The</w:t>
      </w:r>
      <w:r>
        <w:rPr>
          <w:rFonts w:ascii="Arial" w:hAnsi="Arial" w:cs="Arial"/>
          <w:szCs w:val="22"/>
        </w:rPr>
        <w:t xml:space="preserve"> work might cover issues such as economic growth, public service outcomes, fiscal freedoms, democratic engagement and governance, and could draw on work undertaken by CCN and DCN as well </w:t>
      </w:r>
      <w:r w:rsidR="00625546">
        <w:rPr>
          <w:rFonts w:ascii="Arial" w:hAnsi="Arial" w:cs="Arial"/>
          <w:szCs w:val="22"/>
        </w:rPr>
        <w:t>as</w:t>
      </w:r>
      <w:r>
        <w:rPr>
          <w:rFonts w:ascii="Arial" w:hAnsi="Arial" w:cs="Arial"/>
          <w:szCs w:val="22"/>
        </w:rPr>
        <w:t xml:space="preserve"> LGA and independent analysis. </w:t>
      </w:r>
    </w:p>
    <w:p w14:paraId="0C9BA691" w14:textId="77777777" w:rsidR="00324978" w:rsidRPr="00E90EA8" w:rsidRDefault="00324978" w:rsidP="00E90EA8">
      <w:pPr>
        <w:pStyle w:val="ListParagraph"/>
        <w:rPr>
          <w:rFonts w:ascii="Arial" w:hAnsi="Arial" w:cs="Arial"/>
          <w:szCs w:val="22"/>
        </w:rPr>
      </w:pPr>
    </w:p>
    <w:p w14:paraId="0C9BA692" w14:textId="77777777" w:rsidR="001964B8" w:rsidRDefault="0063032A" w:rsidP="00E90EA8">
      <w:pPr>
        <w:pStyle w:val="ListParagraph"/>
        <w:numPr>
          <w:ilvl w:val="0"/>
          <w:numId w:val="1"/>
        </w:numPr>
        <w:rPr>
          <w:rFonts w:ascii="Arial" w:hAnsi="Arial" w:cs="Arial"/>
          <w:szCs w:val="22"/>
        </w:rPr>
      </w:pPr>
      <w:r>
        <w:rPr>
          <w:rFonts w:ascii="Arial" w:hAnsi="Arial" w:cs="Arial"/>
          <w:szCs w:val="22"/>
        </w:rPr>
        <w:t>The work could seek to influence Ministers, senior civil servants, business leaders/organisations, providers of public services and commentators.</w:t>
      </w:r>
      <w:r w:rsidR="008D7D92">
        <w:rPr>
          <w:rFonts w:ascii="Arial" w:hAnsi="Arial" w:cs="Arial"/>
          <w:szCs w:val="22"/>
        </w:rPr>
        <w:t xml:space="preserve"> </w:t>
      </w:r>
    </w:p>
    <w:p w14:paraId="0C9BA693" w14:textId="77777777" w:rsidR="001964B8" w:rsidRDefault="001964B8" w:rsidP="001323AE">
      <w:pPr>
        <w:pStyle w:val="ListParagraph"/>
        <w:ind w:left="360"/>
        <w:rPr>
          <w:rFonts w:ascii="Arial" w:hAnsi="Arial" w:cs="Arial"/>
          <w:szCs w:val="22"/>
        </w:rPr>
      </w:pPr>
    </w:p>
    <w:p w14:paraId="23FC19A5" w14:textId="4CDA5FD2" w:rsidR="008F3C8D" w:rsidRDefault="008D7D92" w:rsidP="008F3C8D">
      <w:pPr>
        <w:pStyle w:val="ListParagraph"/>
        <w:numPr>
          <w:ilvl w:val="0"/>
          <w:numId w:val="1"/>
        </w:numPr>
        <w:rPr>
          <w:rFonts w:ascii="Arial" w:hAnsi="Arial" w:cs="Arial"/>
          <w:szCs w:val="22"/>
        </w:rPr>
      </w:pPr>
      <w:r>
        <w:rPr>
          <w:rFonts w:ascii="Arial" w:hAnsi="Arial" w:cs="Arial"/>
          <w:szCs w:val="22"/>
        </w:rPr>
        <w:t>The LGA is already in dialogue with a number of stakeholders, including</w:t>
      </w:r>
      <w:r w:rsidR="00735429">
        <w:rPr>
          <w:rFonts w:ascii="Arial" w:hAnsi="Arial" w:cs="Arial"/>
          <w:szCs w:val="22"/>
        </w:rPr>
        <w:t xml:space="preserve"> among others</w:t>
      </w:r>
      <w:r>
        <w:rPr>
          <w:rFonts w:ascii="Arial" w:hAnsi="Arial" w:cs="Arial"/>
          <w:szCs w:val="22"/>
        </w:rPr>
        <w:t>:</w:t>
      </w:r>
    </w:p>
    <w:p w14:paraId="54FB6EE6" w14:textId="77777777" w:rsidR="008F3C8D" w:rsidRPr="008F3C8D" w:rsidRDefault="008F3C8D" w:rsidP="008F3C8D">
      <w:pPr>
        <w:rPr>
          <w:rFonts w:ascii="Arial" w:hAnsi="Arial" w:cs="Arial"/>
          <w:szCs w:val="22"/>
        </w:rPr>
      </w:pPr>
    </w:p>
    <w:p w14:paraId="0C9BA695" w14:textId="77777777" w:rsidR="008D7D92" w:rsidRDefault="008D7D92" w:rsidP="00E90EA8">
      <w:pPr>
        <w:pStyle w:val="ListParagraph"/>
        <w:numPr>
          <w:ilvl w:val="1"/>
          <w:numId w:val="1"/>
        </w:numPr>
        <w:rPr>
          <w:rFonts w:ascii="Arial" w:hAnsi="Arial" w:cs="Arial"/>
          <w:szCs w:val="22"/>
        </w:rPr>
      </w:pPr>
      <w:r>
        <w:rPr>
          <w:rFonts w:ascii="Arial" w:hAnsi="Arial" w:cs="Arial"/>
          <w:szCs w:val="22"/>
        </w:rPr>
        <w:t xml:space="preserve">Ministers and senior civil servants in DCLG, BEIS, </w:t>
      </w:r>
      <w:proofErr w:type="spellStart"/>
      <w:r w:rsidR="00735429">
        <w:rPr>
          <w:rFonts w:ascii="Arial" w:hAnsi="Arial" w:cs="Arial"/>
          <w:szCs w:val="22"/>
        </w:rPr>
        <w:t>DExEU</w:t>
      </w:r>
      <w:proofErr w:type="spellEnd"/>
      <w:r w:rsidR="00735429">
        <w:rPr>
          <w:rFonts w:ascii="Arial" w:hAnsi="Arial" w:cs="Arial"/>
          <w:szCs w:val="22"/>
        </w:rPr>
        <w:t xml:space="preserve">, DIT, </w:t>
      </w:r>
      <w:r>
        <w:rPr>
          <w:rFonts w:ascii="Arial" w:hAnsi="Arial" w:cs="Arial"/>
          <w:szCs w:val="22"/>
        </w:rPr>
        <w:t xml:space="preserve">DWP, </w:t>
      </w:r>
      <w:proofErr w:type="spellStart"/>
      <w:r>
        <w:rPr>
          <w:rFonts w:ascii="Arial" w:hAnsi="Arial" w:cs="Arial"/>
          <w:szCs w:val="22"/>
        </w:rPr>
        <w:t>DfE</w:t>
      </w:r>
      <w:proofErr w:type="spellEnd"/>
      <w:r>
        <w:rPr>
          <w:rFonts w:ascii="Arial" w:hAnsi="Arial" w:cs="Arial"/>
          <w:szCs w:val="22"/>
        </w:rPr>
        <w:t xml:space="preserve">, </w:t>
      </w:r>
      <w:proofErr w:type="spellStart"/>
      <w:r>
        <w:rPr>
          <w:rFonts w:ascii="Arial" w:hAnsi="Arial" w:cs="Arial"/>
          <w:szCs w:val="22"/>
        </w:rPr>
        <w:t>DfT</w:t>
      </w:r>
      <w:proofErr w:type="spellEnd"/>
      <w:r>
        <w:rPr>
          <w:rFonts w:ascii="Arial" w:hAnsi="Arial" w:cs="Arial"/>
          <w:szCs w:val="22"/>
        </w:rPr>
        <w:t>, HMT and DCMS.</w:t>
      </w:r>
    </w:p>
    <w:p w14:paraId="0C9BA696" w14:textId="77777777" w:rsidR="008D7D92" w:rsidRDefault="008D7D92" w:rsidP="00E90EA8">
      <w:pPr>
        <w:pStyle w:val="ListParagraph"/>
        <w:numPr>
          <w:ilvl w:val="1"/>
          <w:numId w:val="1"/>
        </w:numPr>
        <w:rPr>
          <w:rFonts w:ascii="Arial" w:hAnsi="Arial" w:cs="Arial"/>
          <w:szCs w:val="22"/>
        </w:rPr>
      </w:pPr>
      <w:r>
        <w:rPr>
          <w:rFonts w:ascii="Arial" w:hAnsi="Arial" w:cs="Arial"/>
          <w:szCs w:val="22"/>
        </w:rPr>
        <w:t xml:space="preserve">National bodies: </w:t>
      </w:r>
      <w:r w:rsidRPr="0060677E">
        <w:rPr>
          <w:rFonts w:ascii="Arial" w:hAnsi="Arial" w:cs="Arial"/>
          <w:szCs w:val="22"/>
        </w:rPr>
        <w:t>Confederation for British Industry, Federation of Small Businesses</w:t>
      </w:r>
      <w:r>
        <w:rPr>
          <w:rFonts w:ascii="Arial" w:hAnsi="Arial" w:cs="Arial"/>
          <w:szCs w:val="22"/>
        </w:rPr>
        <w:t>, LEP Network, National Council for Voluntary Organisations, British Chambers of Commerce, Citizens Advice Bureau</w:t>
      </w:r>
      <w:r w:rsidR="00735429">
        <w:rPr>
          <w:rFonts w:ascii="Arial" w:hAnsi="Arial" w:cs="Arial"/>
          <w:szCs w:val="22"/>
        </w:rPr>
        <w:t>,</w:t>
      </w:r>
      <w:r w:rsidR="00735429" w:rsidRPr="00735429">
        <w:rPr>
          <w:rFonts w:ascii="Arial" w:hAnsi="Arial" w:cs="Arial"/>
          <w:szCs w:val="22"/>
        </w:rPr>
        <w:t xml:space="preserve"> </w:t>
      </w:r>
      <w:r w:rsidR="00735429">
        <w:rPr>
          <w:rFonts w:ascii="Arial" w:hAnsi="Arial" w:cs="Arial"/>
          <w:szCs w:val="22"/>
        </w:rPr>
        <w:t>Ofcom, Universities UK, Higher Education Funding Council for England</w:t>
      </w:r>
      <w:r>
        <w:rPr>
          <w:rFonts w:ascii="Arial" w:hAnsi="Arial" w:cs="Arial"/>
          <w:szCs w:val="22"/>
        </w:rPr>
        <w:t>.</w:t>
      </w:r>
    </w:p>
    <w:p w14:paraId="0C9BA697" w14:textId="77777777" w:rsidR="00735429" w:rsidRDefault="00735429" w:rsidP="00E90EA8">
      <w:pPr>
        <w:pStyle w:val="ListParagraph"/>
        <w:numPr>
          <w:ilvl w:val="1"/>
          <w:numId w:val="1"/>
        </w:numPr>
        <w:rPr>
          <w:rFonts w:ascii="Arial" w:hAnsi="Arial" w:cs="Arial"/>
          <w:szCs w:val="22"/>
        </w:rPr>
      </w:pPr>
      <w:r>
        <w:rPr>
          <w:rFonts w:ascii="Arial" w:hAnsi="Arial" w:cs="Arial"/>
          <w:szCs w:val="22"/>
        </w:rPr>
        <w:t>Parliamen</w:t>
      </w:r>
      <w:r w:rsidR="00341D54">
        <w:rPr>
          <w:rFonts w:ascii="Arial" w:hAnsi="Arial" w:cs="Arial"/>
          <w:szCs w:val="22"/>
        </w:rPr>
        <w:t xml:space="preserve">tarians: </w:t>
      </w:r>
      <w:r w:rsidR="00B51128">
        <w:rPr>
          <w:rFonts w:ascii="Arial" w:hAnsi="Arial" w:cs="Arial"/>
          <w:szCs w:val="22"/>
        </w:rPr>
        <w:t>Select Committees and others</w:t>
      </w:r>
      <w:r>
        <w:rPr>
          <w:rFonts w:ascii="Arial" w:hAnsi="Arial" w:cs="Arial"/>
          <w:szCs w:val="22"/>
        </w:rPr>
        <w:t xml:space="preserve">. We continue to support the All-Party Parliamentary Group on Reform, Decentralisation and Devolution. </w:t>
      </w:r>
    </w:p>
    <w:p w14:paraId="0C9BA698" w14:textId="77777777" w:rsidR="0063032A" w:rsidRDefault="0063032A" w:rsidP="00E90EA8">
      <w:pPr>
        <w:pStyle w:val="ListParagraph"/>
        <w:ind w:left="360"/>
        <w:rPr>
          <w:rFonts w:ascii="Arial" w:hAnsi="Arial" w:cs="Arial"/>
          <w:szCs w:val="22"/>
        </w:rPr>
      </w:pPr>
    </w:p>
    <w:p w14:paraId="0C9BA699" w14:textId="77777777" w:rsidR="006375C3" w:rsidRDefault="0063032A">
      <w:pPr>
        <w:pStyle w:val="ListParagraph"/>
        <w:numPr>
          <w:ilvl w:val="0"/>
          <w:numId w:val="1"/>
        </w:numPr>
        <w:rPr>
          <w:rFonts w:ascii="Arial" w:hAnsi="Arial" w:cs="Arial"/>
          <w:szCs w:val="22"/>
        </w:rPr>
      </w:pPr>
      <w:r w:rsidRPr="001323AE">
        <w:rPr>
          <w:rFonts w:ascii="Arial" w:hAnsi="Arial" w:cs="Arial"/>
          <w:szCs w:val="22"/>
        </w:rPr>
        <w:t xml:space="preserve">Members are invited to comment on this proposal, its audience and potential scope. </w:t>
      </w:r>
    </w:p>
    <w:p w14:paraId="0C9BA69A" w14:textId="77777777" w:rsidR="006375C3" w:rsidRDefault="006375C3" w:rsidP="001323AE">
      <w:pPr>
        <w:rPr>
          <w:rFonts w:ascii="Arial" w:hAnsi="Arial" w:cs="Arial"/>
          <w:szCs w:val="22"/>
        </w:rPr>
      </w:pPr>
    </w:p>
    <w:p w14:paraId="0C9BA69B" w14:textId="77777777" w:rsidR="001964B8" w:rsidRDefault="001964B8">
      <w:pPr>
        <w:spacing w:after="160" w:line="259" w:lineRule="auto"/>
        <w:rPr>
          <w:rFonts w:ascii="Arial" w:hAnsi="Arial" w:cs="Arial"/>
          <w:b/>
          <w:szCs w:val="22"/>
        </w:rPr>
      </w:pPr>
      <w:r>
        <w:rPr>
          <w:rFonts w:ascii="Arial" w:hAnsi="Arial" w:cs="Arial"/>
          <w:b/>
          <w:szCs w:val="22"/>
        </w:rPr>
        <w:br w:type="page"/>
      </w:r>
    </w:p>
    <w:p w14:paraId="0C9BA69C" w14:textId="77777777" w:rsidR="006375C3" w:rsidRPr="006375C3" w:rsidRDefault="006375C3" w:rsidP="001323AE">
      <w:pPr>
        <w:rPr>
          <w:rFonts w:ascii="Arial" w:hAnsi="Arial" w:cs="Arial"/>
          <w:b/>
          <w:szCs w:val="22"/>
        </w:rPr>
      </w:pPr>
      <w:r>
        <w:rPr>
          <w:rFonts w:ascii="Arial" w:hAnsi="Arial" w:cs="Arial"/>
          <w:b/>
          <w:szCs w:val="22"/>
        </w:rPr>
        <w:lastRenderedPageBreak/>
        <w:t>Progressing the Board’s policy priorities</w:t>
      </w:r>
    </w:p>
    <w:p w14:paraId="0C9BA69D" w14:textId="77777777" w:rsidR="000E272B" w:rsidRPr="000E272B" w:rsidRDefault="000E272B" w:rsidP="000E272B">
      <w:pPr>
        <w:pStyle w:val="ListParagraph"/>
        <w:rPr>
          <w:rFonts w:ascii="Arial" w:hAnsi="Arial" w:cs="Arial"/>
          <w:szCs w:val="22"/>
        </w:rPr>
      </w:pPr>
    </w:p>
    <w:p w14:paraId="0C9BA69E" w14:textId="77777777" w:rsidR="009C10F2" w:rsidRDefault="00387816" w:rsidP="00ED03B9">
      <w:pPr>
        <w:pStyle w:val="ListParagraph"/>
        <w:numPr>
          <w:ilvl w:val="0"/>
          <w:numId w:val="1"/>
        </w:numPr>
        <w:rPr>
          <w:rFonts w:ascii="Arial" w:hAnsi="Arial" w:cs="Arial"/>
          <w:szCs w:val="22"/>
        </w:rPr>
      </w:pPr>
      <w:r>
        <w:rPr>
          <w:rFonts w:ascii="Arial" w:hAnsi="Arial" w:cs="Arial"/>
          <w:szCs w:val="22"/>
        </w:rPr>
        <w:t xml:space="preserve">At the final Board meeting of the previous cycle, members were in favour of </w:t>
      </w:r>
      <w:r w:rsidR="00617DEE">
        <w:rPr>
          <w:rFonts w:ascii="Arial" w:hAnsi="Arial" w:cs="Arial"/>
          <w:szCs w:val="22"/>
        </w:rPr>
        <w:t xml:space="preserve">exploring </w:t>
      </w:r>
      <w:r>
        <w:rPr>
          <w:rFonts w:ascii="Arial" w:hAnsi="Arial" w:cs="Arial"/>
          <w:szCs w:val="22"/>
        </w:rPr>
        <w:t>a change of focus fr</w:t>
      </w:r>
      <w:r w:rsidR="00637DF5">
        <w:rPr>
          <w:rFonts w:ascii="Arial" w:hAnsi="Arial" w:cs="Arial"/>
          <w:szCs w:val="22"/>
        </w:rPr>
        <w:t xml:space="preserve">om the pursuit of </w:t>
      </w:r>
      <w:r w:rsidR="001964B8">
        <w:rPr>
          <w:rFonts w:ascii="Arial" w:hAnsi="Arial" w:cs="Arial"/>
          <w:szCs w:val="22"/>
        </w:rPr>
        <w:t>an ‘off the shelf’</w:t>
      </w:r>
      <w:r w:rsidR="00637DF5">
        <w:rPr>
          <w:rFonts w:ascii="Arial" w:hAnsi="Arial" w:cs="Arial"/>
          <w:szCs w:val="22"/>
        </w:rPr>
        <w:t xml:space="preserve"> </w:t>
      </w:r>
      <w:r w:rsidR="001964B8">
        <w:rPr>
          <w:rFonts w:ascii="Arial" w:hAnsi="Arial" w:cs="Arial"/>
          <w:szCs w:val="22"/>
        </w:rPr>
        <w:t xml:space="preserve">deal for local government </w:t>
      </w:r>
      <w:r>
        <w:rPr>
          <w:rFonts w:ascii="Arial" w:hAnsi="Arial" w:cs="Arial"/>
          <w:szCs w:val="22"/>
        </w:rPr>
        <w:t xml:space="preserve">to seeking progress in a number of </w:t>
      </w:r>
      <w:r w:rsidR="001964B8">
        <w:rPr>
          <w:rFonts w:ascii="Arial" w:hAnsi="Arial" w:cs="Arial"/>
          <w:szCs w:val="22"/>
        </w:rPr>
        <w:t xml:space="preserve">specific </w:t>
      </w:r>
      <w:r>
        <w:rPr>
          <w:rFonts w:ascii="Arial" w:hAnsi="Arial" w:cs="Arial"/>
          <w:szCs w:val="22"/>
        </w:rPr>
        <w:t>policy areas</w:t>
      </w:r>
      <w:r w:rsidR="00FE6977">
        <w:rPr>
          <w:rFonts w:ascii="Arial" w:hAnsi="Arial" w:cs="Arial"/>
          <w:szCs w:val="22"/>
        </w:rPr>
        <w:t>.</w:t>
      </w:r>
      <w:r w:rsidR="008A2135">
        <w:rPr>
          <w:rFonts w:ascii="Arial" w:hAnsi="Arial" w:cs="Arial"/>
          <w:szCs w:val="22"/>
        </w:rPr>
        <w:t xml:space="preserve"> This enable</w:t>
      </w:r>
      <w:r w:rsidR="009A4AF9">
        <w:rPr>
          <w:rFonts w:ascii="Arial" w:hAnsi="Arial" w:cs="Arial"/>
          <w:szCs w:val="22"/>
        </w:rPr>
        <w:t>s</w:t>
      </w:r>
      <w:r w:rsidR="008A2135">
        <w:rPr>
          <w:rFonts w:ascii="Arial" w:hAnsi="Arial" w:cs="Arial"/>
          <w:szCs w:val="22"/>
        </w:rPr>
        <w:t xml:space="preserve"> </w:t>
      </w:r>
      <w:r w:rsidR="000B1BCB">
        <w:rPr>
          <w:rFonts w:ascii="Arial" w:hAnsi="Arial" w:cs="Arial"/>
          <w:szCs w:val="22"/>
        </w:rPr>
        <w:t xml:space="preserve">us </w:t>
      </w:r>
      <w:r w:rsidR="00E7550A">
        <w:rPr>
          <w:rFonts w:ascii="Arial" w:hAnsi="Arial" w:cs="Arial"/>
          <w:szCs w:val="22"/>
        </w:rPr>
        <w:t xml:space="preserve">to pursue some </w:t>
      </w:r>
      <w:r w:rsidR="008A2135">
        <w:rPr>
          <w:rFonts w:ascii="Arial" w:hAnsi="Arial" w:cs="Arial"/>
          <w:szCs w:val="22"/>
        </w:rPr>
        <w:t xml:space="preserve">policy </w:t>
      </w:r>
      <w:r w:rsidR="00E7550A">
        <w:rPr>
          <w:rFonts w:ascii="Arial" w:hAnsi="Arial" w:cs="Arial"/>
          <w:szCs w:val="22"/>
        </w:rPr>
        <w:t xml:space="preserve">gains </w:t>
      </w:r>
      <w:r w:rsidR="00A060FF">
        <w:rPr>
          <w:rFonts w:ascii="Arial" w:hAnsi="Arial" w:cs="Arial"/>
          <w:szCs w:val="22"/>
        </w:rPr>
        <w:t xml:space="preserve">with Whitehall departments </w:t>
      </w:r>
      <w:r w:rsidR="00E7550A">
        <w:rPr>
          <w:rFonts w:ascii="Arial" w:hAnsi="Arial" w:cs="Arial"/>
          <w:szCs w:val="22"/>
        </w:rPr>
        <w:t xml:space="preserve">in the short term </w:t>
      </w:r>
      <w:r w:rsidR="008A2135">
        <w:rPr>
          <w:rFonts w:ascii="Arial" w:hAnsi="Arial" w:cs="Arial"/>
          <w:szCs w:val="22"/>
        </w:rPr>
        <w:t>that together help embed greater devolution</w:t>
      </w:r>
      <w:r w:rsidR="00A060FF">
        <w:rPr>
          <w:rFonts w:ascii="Arial" w:hAnsi="Arial" w:cs="Arial"/>
          <w:szCs w:val="22"/>
        </w:rPr>
        <w:t>, rather than negotiating at a strategic level with Government</w:t>
      </w:r>
      <w:r w:rsidR="008A2135">
        <w:rPr>
          <w:rFonts w:ascii="Arial" w:hAnsi="Arial" w:cs="Arial"/>
          <w:szCs w:val="22"/>
        </w:rPr>
        <w:t>.</w:t>
      </w:r>
      <w:r w:rsidR="006375C3">
        <w:rPr>
          <w:rFonts w:ascii="Arial" w:hAnsi="Arial" w:cs="Arial"/>
          <w:szCs w:val="22"/>
        </w:rPr>
        <w:t xml:space="preserve"> As set out in the proposals above, there is also the opportunity to use the Brexit negotiations to take forward some of our key policy asks.</w:t>
      </w:r>
      <w:r w:rsidR="00FE6977">
        <w:rPr>
          <w:rFonts w:ascii="Arial" w:hAnsi="Arial" w:cs="Arial"/>
          <w:szCs w:val="22"/>
        </w:rPr>
        <w:t xml:space="preserve"> </w:t>
      </w:r>
      <w:r w:rsidR="00617DEE">
        <w:rPr>
          <w:rFonts w:ascii="Arial" w:hAnsi="Arial" w:cs="Arial"/>
          <w:szCs w:val="22"/>
        </w:rPr>
        <w:t xml:space="preserve">The LGA continues to make the case for greater local influence over a wide range of services, most recently in the </w:t>
      </w:r>
      <w:hyperlink r:id="rId15" w:history="1">
        <w:r w:rsidR="00617DEE" w:rsidRPr="00617DEE">
          <w:rPr>
            <w:rStyle w:val="Hyperlink"/>
            <w:rFonts w:ascii="Arial" w:hAnsi="Arial" w:cs="Arial"/>
            <w:szCs w:val="22"/>
          </w:rPr>
          <w:t>Growing Places</w:t>
        </w:r>
      </w:hyperlink>
      <w:r w:rsidR="00617DEE">
        <w:rPr>
          <w:rFonts w:ascii="Arial" w:hAnsi="Arial" w:cs="Arial"/>
          <w:szCs w:val="22"/>
        </w:rPr>
        <w:t xml:space="preserve"> campaign launched at LGA annual conference in July. </w:t>
      </w:r>
      <w:r w:rsidR="008A2135">
        <w:rPr>
          <w:rFonts w:ascii="Arial" w:hAnsi="Arial" w:cs="Arial"/>
          <w:szCs w:val="22"/>
        </w:rPr>
        <w:t xml:space="preserve">Within the Board’s remit, the following </w:t>
      </w:r>
      <w:r w:rsidR="009117A9">
        <w:rPr>
          <w:rFonts w:ascii="Arial" w:hAnsi="Arial" w:cs="Arial"/>
          <w:szCs w:val="22"/>
        </w:rPr>
        <w:t>projects</w:t>
      </w:r>
      <w:r w:rsidR="00FF6E0A">
        <w:rPr>
          <w:rFonts w:ascii="Arial" w:hAnsi="Arial" w:cs="Arial"/>
          <w:szCs w:val="22"/>
        </w:rPr>
        <w:t xml:space="preserve"> to enable greater departmental devolution</w:t>
      </w:r>
      <w:r w:rsidR="009117A9">
        <w:rPr>
          <w:rFonts w:ascii="Arial" w:hAnsi="Arial" w:cs="Arial"/>
          <w:szCs w:val="22"/>
        </w:rPr>
        <w:t xml:space="preserve"> are </w:t>
      </w:r>
      <w:r w:rsidR="00A060FF">
        <w:rPr>
          <w:rFonts w:ascii="Arial" w:hAnsi="Arial" w:cs="Arial"/>
          <w:szCs w:val="22"/>
        </w:rPr>
        <w:t>well advanced:</w:t>
      </w:r>
    </w:p>
    <w:p w14:paraId="0C9BA69F" w14:textId="77777777" w:rsidR="00D171C8" w:rsidRPr="00D171C8" w:rsidRDefault="00D171C8" w:rsidP="00D171C8">
      <w:pPr>
        <w:pStyle w:val="ListParagraph"/>
        <w:rPr>
          <w:rFonts w:ascii="Arial" w:hAnsi="Arial" w:cs="Arial"/>
          <w:szCs w:val="22"/>
        </w:rPr>
      </w:pPr>
    </w:p>
    <w:p w14:paraId="0C9BA6A0" w14:textId="5ADA543D" w:rsidR="00D171C8" w:rsidRPr="001323AE" w:rsidRDefault="00D171C8" w:rsidP="00D171C8">
      <w:pPr>
        <w:pStyle w:val="ListParagraph"/>
        <w:numPr>
          <w:ilvl w:val="1"/>
          <w:numId w:val="1"/>
        </w:numPr>
        <w:rPr>
          <w:rFonts w:ascii="Arial" w:hAnsi="Arial" w:cs="Arial"/>
          <w:szCs w:val="22"/>
        </w:rPr>
      </w:pPr>
      <w:r w:rsidRPr="00AE1BE7">
        <w:rPr>
          <w:rFonts w:ascii="Arial" w:hAnsi="Arial" w:cs="Arial"/>
          <w:b/>
          <w:szCs w:val="22"/>
        </w:rPr>
        <w:t>Skills and employment support</w:t>
      </w:r>
      <w:r>
        <w:rPr>
          <w:rFonts w:ascii="Arial" w:hAnsi="Arial" w:cs="Arial"/>
          <w:szCs w:val="22"/>
        </w:rPr>
        <w:t xml:space="preserve">: this Board has consistently made the case for the devolution of skills and employment support to councils and combined authorities. </w:t>
      </w:r>
      <w:r w:rsidR="006375C3">
        <w:rPr>
          <w:rFonts w:ascii="Arial" w:hAnsi="Arial" w:cs="Arial"/>
          <w:szCs w:val="22"/>
        </w:rPr>
        <w:t xml:space="preserve">Our </w:t>
      </w:r>
      <w:hyperlink r:id="rId16" w:history="1">
        <w:r w:rsidRPr="006375C3">
          <w:rPr>
            <w:rStyle w:val="Hyperlink"/>
            <w:rFonts w:ascii="Arial" w:hAnsi="Arial" w:cs="Arial"/>
            <w:szCs w:val="22"/>
          </w:rPr>
          <w:t>Work Local campaign</w:t>
        </w:r>
      </w:hyperlink>
      <w:r>
        <w:rPr>
          <w:rFonts w:ascii="Arial" w:hAnsi="Arial" w:cs="Arial"/>
          <w:szCs w:val="22"/>
        </w:rPr>
        <w:t xml:space="preserve"> was launched at annual conference and makes the case for local approaches to get more people of all ages into good quality work and training. Officers propose developing the campaign to expand on some of the key asks in Work Local in order to form alliances an</w:t>
      </w:r>
      <w:r w:rsidR="00E7550A">
        <w:rPr>
          <w:rFonts w:ascii="Arial" w:hAnsi="Arial" w:cs="Arial"/>
          <w:szCs w:val="22"/>
        </w:rPr>
        <w:t>d</w:t>
      </w:r>
      <w:r>
        <w:rPr>
          <w:rFonts w:ascii="Arial" w:hAnsi="Arial" w:cs="Arial"/>
          <w:szCs w:val="22"/>
        </w:rPr>
        <w:t xml:space="preserve"> in</w:t>
      </w:r>
      <w:r w:rsidRPr="001323AE">
        <w:rPr>
          <w:rFonts w:ascii="Arial" w:hAnsi="Arial" w:cs="Arial"/>
          <w:szCs w:val="22"/>
        </w:rPr>
        <w:t xml:space="preserve">fluence upcoming Government decisions. This is discussed in more detail in </w:t>
      </w:r>
      <w:r w:rsidRPr="00802501">
        <w:rPr>
          <w:rFonts w:ascii="Arial" w:hAnsi="Arial" w:cs="Arial"/>
          <w:szCs w:val="22"/>
        </w:rPr>
        <w:t xml:space="preserve">item </w:t>
      </w:r>
      <w:r w:rsidR="00802501">
        <w:rPr>
          <w:rFonts w:ascii="Arial" w:hAnsi="Arial" w:cs="Arial"/>
          <w:szCs w:val="22"/>
        </w:rPr>
        <w:t>5</w:t>
      </w:r>
      <w:r w:rsidR="00D741CE" w:rsidRPr="001323AE">
        <w:rPr>
          <w:rFonts w:ascii="Arial" w:hAnsi="Arial" w:cs="Arial"/>
          <w:szCs w:val="22"/>
        </w:rPr>
        <w:t xml:space="preserve"> on the Board’s agenda</w:t>
      </w:r>
      <w:r w:rsidRPr="001323AE">
        <w:rPr>
          <w:rFonts w:ascii="Arial" w:hAnsi="Arial" w:cs="Arial"/>
          <w:szCs w:val="22"/>
        </w:rPr>
        <w:t>.</w:t>
      </w:r>
    </w:p>
    <w:p w14:paraId="0C9BA6A1" w14:textId="77777777" w:rsidR="00AE1BE7" w:rsidRPr="001323AE" w:rsidRDefault="00AE1BE7" w:rsidP="00AE1BE7">
      <w:pPr>
        <w:pStyle w:val="ListParagraph"/>
        <w:ind w:left="792"/>
        <w:rPr>
          <w:rFonts w:ascii="Arial" w:hAnsi="Arial" w:cs="Arial"/>
          <w:szCs w:val="22"/>
        </w:rPr>
      </w:pPr>
    </w:p>
    <w:p w14:paraId="0C9BA6A2" w14:textId="5395F089" w:rsidR="00D171C8" w:rsidRDefault="00AE1BE7" w:rsidP="00D171C8">
      <w:pPr>
        <w:pStyle w:val="ListParagraph"/>
        <w:numPr>
          <w:ilvl w:val="1"/>
          <w:numId w:val="1"/>
        </w:numPr>
        <w:rPr>
          <w:rFonts w:ascii="Arial" w:hAnsi="Arial" w:cs="Arial"/>
          <w:szCs w:val="22"/>
        </w:rPr>
      </w:pPr>
      <w:r w:rsidRPr="001323AE">
        <w:rPr>
          <w:rFonts w:ascii="Arial" w:hAnsi="Arial" w:cs="Arial"/>
          <w:b/>
          <w:szCs w:val="22"/>
        </w:rPr>
        <w:t>Trade and inward investment</w:t>
      </w:r>
      <w:r w:rsidRPr="001323AE">
        <w:rPr>
          <w:rFonts w:ascii="Arial" w:hAnsi="Arial" w:cs="Arial"/>
          <w:szCs w:val="22"/>
        </w:rPr>
        <w:t xml:space="preserve">: work to explore the role of local government was commissioned in the previous Board cycle. The research demonstrated the </w:t>
      </w:r>
      <w:r w:rsidR="00397E7D" w:rsidRPr="001323AE">
        <w:rPr>
          <w:rFonts w:ascii="Arial" w:hAnsi="Arial" w:cs="Arial"/>
          <w:szCs w:val="22"/>
        </w:rPr>
        <w:t>ability of local government to lead effectively in this domain, but set out clearly the over-complicated, top-down policy landscape that is holding back local leaders from doing more. A sub-</w:t>
      </w:r>
      <w:r w:rsidR="00C03461" w:rsidRPr="001323AE">
        <w:rPr>
          <w:rFonts w:ascii="Arial" w:hAnsi="Arial" w:cs="Arial"/>
          <w:szCs w:val="22"/>
        </w:rPr>
        <w:t xml:space="preserve">national </w:t>
      </w:r>
      <w:r w:rsidR="00397E7D" w:rsidRPr="001323AE">
        <w:rPr>
          <w:rFonts w:ascii="Arial" w:hAnsi="Arial" w:cs="Arial"/>
          <w:szCs w:val="22"/>
        </w:rPr>
        <w:t>approach was discu</w:t>
      </w:r>
      <w:r w:rsidR="00E7550A" w:rsidRPr="001323AE">
        <w:rPr>
          <w:rFonts w:ascii="Arial" w:hAnsi="Arial" w:cs="Arial"/>
          <w:szCs w:val="22"/>
        </w:rPr>
        <w:t>ssed as one possible solution. Possible n</w:t>
      </w:r>
      <w:r w:rsidR="00397E7D" w:rsidRPr="001323AE">
        <w:rPr>
          <w:rFonts w:ascii="Arial" w:hAnsi="Arial" w:cs="Arial"/>
          <w:szCs w:val="22"/>
        </w:rPr>
        <w:t xml:space="preserve">ext steps for this work are discussed in </w:t>
      </w:r>
      <w:r w:rsidR="00397E7D" w:rsidRPr="00802501">
        <w:rPr>
          <w:rFonts w:ascii="Arial" w:hAnsi="Arial" w:cs="Arial"/>
          <w:szCs w:val="22"/>
        </w:rPr>
        <w:t xml:space="preserve">item </w:t>
      </w:r>
      <w:r w:rsidR="00802501">
        <w:rPr>
          <w:rFonts w:ascii="Arial" w:hAnsi="Arial" w:cs="Arial"/>
          <w:szCs w:val="22"/>
        </w:rPr>
        <w:t>6</w:t>
      </w:r>
      <w:r w:rsidR="00D741CE">
        <w:rPr>
          <w:rFonts w:ascii="Arial" w:hAnsi="Arial" w:cs="Arial"/>
          <w:szCs w:val="22"/>
        </w:rPr>
        <w:t xml:space="preserve"> on the Board’s agenda</w:t>
      </w:r>
      <w:r w:rsidR="00397E7D">
        <w:rPr>
          <w:rFonts w:ascii="Arial" w:hAnsi="Arial" w:cs="Arial"/>
          <w:szCs w:val="22"/>
        </w:rPr>
        <w:t>.</w:t>
      </w:r>
    </w:p>
    <w:p w14:paraId="0C9BA6A3" w14:textId="77777777" w:rsidR="00397E7D" w:rsidRPr="00397E7D" w:rsidRDefault="00397E7D" w:rsidP="00397E7D">
      <w:pPr>
        <w:pStyle w:val="ListParagraph"/>
        <w:rPr>
          <w:rFonts w:ascii="Arial" w:hAnsi="Arial" w:cs="Arial"/>
          <w:szCs w:val="22"/>
        </w:rPr>
      </w:pPr>
    </w:p>
    <w:p w14:paraId="0C9BA6A4" w14:textId="77777777" w:rsidR="00397E7D" w:rsidRDefault="009117A9" w:rsidP="0034061B">
      <w:pPr>
        <w:pStyle w:val="ListParagraph"/>
        <w:numPr>
          <w:ilvl w:val="1"/>
          <w:numId w:val="1"/>
        </w:numPr>
        <w:rPr>
          <w:rFonts w:ascii="Arial" w:hAnsi="Arial" w:cs="Arial"/>
          <w:szCs w:val="22"/>
        </w:rPr>
      </w:pPr>
      <w:r>
        <w:rPr>
          <w:rFonts w:ascii="Arial" w:hAnsi="Arial" w:cs="Arial"/>
          <w:b/>
          <w:szCs w:val="22"/>
        </w:rPr>
        <w:t>Digital connectivity</w:t>
      </w:r>
      <w:r>
        <w:rPr>
          <w:rFonts w:ascii="Arial" w:hAnsi="Arial" w:cs="Arial"/>
          <w:szCs w:val="22"/>
        </w:rPr>
        <w:t xml:space="preserve">: the Board has </w:t>
      </w:r>
      <w:r w:rsidR="00FF66F2">
        <w:rPr>
          <w:rFonts w:ascii="Arial" w:hAnsi="Arial" w:cs="Arial"/>
          <w:szCs w:val="22"/>
        </w:rPr>
        <w:t xml:space="preserve">helped </w:t>
      </w:r>
      <w:r w:rsidR="00834C94">
        <w:rPr>
          <w:rFonts w:ascii="Arial" w:hAnsi="Arial" w:cs="Arial"/>
          <w:szCs w:val="22"/>
        </w:rPr>
        <w:t>establish</w:t>
      </w:r>
      <w:r>
        <w:rPr>
          <w:rFonts w:ascii="Arial" w:hAnsi="Arial" w:cs="Arial"/>
          <w:szCs w:val="22"/>
        </w:rPr>
        <w:t xml:space="preserve"> local government as a</w:t>
      </w:r>
      <w:r w:rsidR="00FF66F2">
        <w:rPr>
          <w:rFonts w:ascii="Arial" w:hAnsi="Arial" w:cs="Arial"/>
          <w:szCs w:val="22"/>
        </w:rPr>
        <w:t xml:space="preserve"> credible and respected</w:t>
      </w:r>
      <w:r>
        <w:rPr>
          <w:rFonts w:ascii="Arial" w:hAnsi="Arial" w:cs="Arial"/>
          <w:szCs w:val="22"/>
        </w:rPr>
        <w:t xml:space="preserve"> voice in </w:t>
      </w:r>
      <w:r w:rsidR="00FF66F2">
        <w:rPr>
          <w:rFonts w:ascii="Arial" w:hAnsi="Arial" w:cs="Arial"/>
          <w:szCs w:val="22"/>
        </w:rPr>
        <w:t>the field of</w:t>
      </w:r>
      <w:r>
        <w:rPr>
          <w:rFonts w:ascii="Arial" w:hAnsi="Arial" w:cs="Arial"/>
          <w:szCs w:val="22"/>
        </w:rPr>
        <w:t xml:space="preserve"> digital </w:t>
      </w:r>
      <w:r w:rsidR="00FF66F2">
        <w:rPr>
          <w:rFonts w:ascii="Arial" w:hAnsi="Arial" w:cs="Arial"/>
          <w:szCs w:val="22"/>
        </w:rPr>
        <w:t>connectivity</w:t>
      </w:r>
      <w:r>
        <w:rPr>
          <w:rFonts w:ascii="Arial" w:hAnsi="Arial" w:cs="Arial"/>
          <w:szCs w:val="22"/>
        </w:rPr>
        <w:t xml:space="preserve">. </w:t>
      </w:r>
      <w:r w:rsidR="00834C94">
        <w:rPr>
          <w:rFonts w:ascii="Arial" w:hAnsi="Arial" w:cs="Arial"/>
          <w:szCs w:val="22"/>
        </w:rPr>
        <w:t xml:space="preserve">It is proposed that </w:t>
      </w:r>
      <w:r w:rsidR="00FF66F2">
        <w:rPr>
          <w:rFonts w:ascii="Arial" w:hAnsi="Arial" w:cs="Arial"/>
          <w:szCs w:val="22"/>
        </w:rPr>
        <w:t xml:space="preserve">over next year </w:t>
      </w:r>
      <w:r w:rsidR="00834C94">
        <w:rPr>
          <w:rFonts w:ascii="Arial" w:hAnsi="Arial" w:cs="Arial"/>
          <w:szCs w:val="22"/>
        </w:rPr>
        <w:t xml:space="preserve">the Board </w:t>
      </w:r>
      <w:r w:rsidR="00FF66F2">
        <w:rPr>
          <w:rFonts w:ascii="Arial" w:hAnsi="Arial" w:cs="Arial"/>
          <w:szCs w:val="22"/>
        </w:rPr>
        <w:t>capitalises on this success and adopts a more strategic</w:t>
      </w:r>
      <w:r w:rsidR="00834C94">
        <w:rPr>
          <w:rFonts w:ascii="Arial" w:hAnsi="Arial" w:cs="Arial"/>
          <w:szCs w:val="22"/>
        </w:rPr>
        <w:t xml:space="preserve"> approach to </w:t>
      </w:r>
      <w:r w:rsidR="00FF66F2">
        <w:rPr>
          <w:rFonts w:ascii="Arial" w:hAnsi="Arial" w:cs="Arial"/>
          <w:szCs w:val="22"/>
        </w:rPr>
        <w:t xml:space="preserve">this topic: strengthening key relationships with national government and the communications regulator Ofcom; aligning our consumer advocacy </w:t>
      </w:r>
      <w:r w:rsidR="0034061B">
        <w:rPr>
          <w:rFonts w:ascii="Arial" w:hAnsi="Arial" w:cs="Arial"/>
          <w:szCs w:val="22"/>
        </w:rPr>
        <w:t>campaigns with partners that share similar ambitions; maintaining our technical expertise and interest in broadband, but prioritising new thinking and stakeholder engagement activities to</w:t>
      </w:r>
      <w:r w:rsidR="00834C94">
        <w:rPr>
          <w:rFonts w:ascii="Arial" w:hAnsi="Arial" w:cs="Arial"/>
          <w:szCs w:val="22"/>
        </w:rPr>
        <w:t xml:space="preserve"> </w:t>
      </w:r>
      <w:r w:rsidR="0034061B">
        <w:rPr>
          <w:rFonts w:ascii="Arial" w:hAnsi="Arial" w:cs="Arial"/>
          <w:szCs w:val="22"/>
        </w:rPr>
        <w:t xml:space="preserve">build capacity in relation to </w:t>
      </w:r>
      <w:r w:rsidR="00834C94">
        <w:rPr>
          <w:rFonts w:ascii="Arial" w:hAnsi="Arial" w:cs="Arial"/>
          <w:szCs w:val="22"/>
        </w:rPr>
        <w:t>the provision of mobile infrastructure</w:t>
      </w:r>
      <w:r w:rsidR="0034061B">
        <w:rPr>
          <w:rFonts w:ascii="Arial" w:hAnsi="Arial" w:cs="Arial"/>
          <w:szCs w:val="22"/>
        </w:rPr>
        <w:t>,</w:t>
      </w:r>
      <w:r w:rsidR="00834C94">
        <w:rPr>
          <w:rFonts w:ascii="Arial" w:hAnsi="Arial" w:cs="Arial"/>
          <w:szCs w:val="22"/>
        </w:rPr>
        <w:t xml:space="preserve"> where the role of local government is currently less </w:t>
      </w:r>
      <w:r w:rsidR="0034061B">
        <w:rPr>
          <w:rFonts w:ascii="Arial" w:hAnsi="Arial" w:cs="Arial"/>
          <w:szCs w:val="22"/>
        </w:rPr>
        <w:t>influential and the opportunities to have a significant impact are more pronounced.</w:t>
      </w:r>
      <w:r w:rsidR="00834C94">
        <w:rPr>
          <w:rFonts w:ascii="Arial" w:hAnsi="Arial" w:cs="Arial"/>
          <w:szCs w:val="22"/>
        </w:rPr>
        <w:t xml:space="preserve"> If members agree, officers will prepare a paper for the Board’s next meeting. </w:t>
      </w:r>
    </w:p>
    <w:p w14:paraId="0C9BA6A5" w14:textId="77777777" w:rsidR="003C3149" w:rsidRPr="00E90EA8" w:rsidRDefault="003C3149" w:rsidP="00E90EA8">
      <w:pPr>
        <w:pStyle w:val="ListParagraph"/>
        <w:rPr>
          <w:rFonts w:ascii="Arial" w:hAnsi="Arial" w:cs="Arial"/>
          <w:szCs w:val="22"/>
        </w:rPr>
      </w:pPr>
    </w:p>
    <w:p w14:paraId="0C9BA6A6" w14:textId="77777777" w:rsidR="00A45A29" w:rsidRPr="00E90EA8" w:rsidRDefault="003C3149" w:rsidP="00E90EA8">
      <w:pPr>
        <w:pStyle w:val="ListParagraph"/>
        <w:numPr>
          <w:ilvl w:val="1"/>
          <w:numId w:val="1"/>
        </w:numPr>
      </w:pPr>
      <w:r w:rsidRPr="00E90EA8">
        <w:rPr>
          <w:rFonts w:ascii="Arial" w:hAnsi="Arial" w:cs="Arial"/>
          <w:b/>
          <w:szCs w:val="22"/>
        </w:rPr>
        <w:t xml:space="preserve">Higher </w:t>
      </w:r>
      <w:r w:rsidR="00701CB9">
        <w:rPr>
          <w:rFonts w:ascii="Arial" w:hAnsi="Arial" w:cs="Arial"/>
          <w:b/>
          <w:szCs w:val="22"/>
        </w:rPr>
        <w:t>e</w:t>
      </w:r>
      <w:r w:rsidRPr="00E90EA8">
        <w:rPr>
          <w:rFonts w:ascii="Arial" w:hAnsi="Arial" w:cs="Arial"/>
          <w:b/>
          <w:szCs w:val="22"/>
        </w:rPr>
        <w:t>ducation</w:t>
      </w:r>
      <w:r>
        <w:rPr>
          <w:rFonts w:ascii="Arial" w:hAnsi="Arial" w:cs="Arial"/>
          <w:szCs w:val="22"/>
        </w:rPr>
        <w:t>: through its oversight of the Leading Places project and</w:t>
      </w:r>
      <w:r w:rsidR="00C82E91">
        <w:rPr>
          <w:rFonts w:ascii="Arial" w:hAnsi="Arial" w:cs="Arial"/>
          <w:szCs w:val="22"/>
        </w:rPr>
        <w:t xml:space="preserve"> related activity the Board has had some exposure to the growing interest at a national and local level in greater collaboration between local government and higher education institutions.</w:t>
      </w:r>
      <w:r w:rsidR="00BD42E7">
        <w:rPr>
          <w:rFonts w:ascii="Arial" w:hAnsi="Arial" w:cs="Arial"/>
          <w:szCs w:val="22"/>
        </w:rPr>
        <w:t xml:space="preserve"> </w:t>
      </w:r>
      <w:r w:rsidR="00C82E91">
        <w:rPr>
          <w:rFonts w:ascii="Arial" w:hAnsi="Arial" w:cs="Arial"/>
          <w:szCs w:val="22"/>
        </w:rPr>
        <w:t xml:space="preserve">In particular, it is expected that the forthcoming industrial strategy white paper will make recommendations regarding the role of universities in supporting innovation, infrastructure investment and contributing to leadership for local growth. </w:t>
      </w:r>
      <w:r w:rsidR="00347710">
        <w:rPr>
          <w:rFonts w:ascii="Arial" w:hAnsi="Arial" w:cs="Arial"/>
          <w:szCs w:val="22"/>
        </w:rPr>
        <w:t>As such, in addition to continuing</w:t>
      </w:r>
      <w:r w:rsidR="00C82E91">
        <w:rPr>
          <w:rFonts w:ascii="Arial" w:hAnsi="Arial" w:cs="Arial"/>
          <w:szCs w:val="22"/>
        </w:rPr>
        <w:t xml:space="preserve"> to provide strategic oversight of existing projects, the Board may also wish to consider a more comprehensive process of engagement </w:t>
      </w:r>
      <w:r w:rsidR="00347710">
        <w:rPr>
          <w:rFonts w:ascii="Arial" w:hAnsi="Arial" w:cs="Arial"/>
          <w:szCs w:val="22"/>
        </w:rPr>
        <w:t>with national stakeholders in this field, such as Universities UK and explore the potential for further joint work.</w:t>
      </w:r>
      <w:r w:rsidR="00BD42E7" w:rsidRPr="00BD42E7">
        <w:rPr>
          <w:rFonts w:ascii="Arial" w:hAnsi="Arial" w:cs="Arial"/>
          <w:szCs w:val="22"/>
        </w:rPr>
        <w:t xml:space="preserve"> </w:t>
      </w:r>
      <w:r w:rsidR="00BD42E7">
        <w:rPr>
          <w:rFonts w:ascii="Arial" w:hAnsi="Arial" w:cs="Arial"/>
          <w:szCs w:val="22"/>
        </w:rPr>
        <w:t xml:space="preserve">This should also seek to position local government </w:t>
      </w:r>
      <w:r w:rsidR="00BD42E7">
        <w:rPr>
          <w:rFonts w:ascii="Arial" w:hAnsi="Arial" w:cs="Arial"/>
          <w:szCs w:val="22"/>
        </w:rPr>
        <w:lastRenderedPageBreak/>
        <w:t>well in its ability to influence the £17.4 billion that the HE sector is able to invest in local places.</w:t>
      </w:r>
    </w:p>
    <w:p w14:paraId="0C9BA6A7" w14:textId="77777777" w:rsidR="00ED03B9" w:rsidRPr="0021114E" w:rsidRDefault="00ED03B9" w:rsidP="00ED03B9">
      <w:pPr>
        <w:rPr>
          <w:rFonts w:ascii="Arial" w:hAnsi="Arial" w:cs="Arial"/>
          <w:szCs w:val="22"/>
        </w:rPr>
      </w:pPr>
    </w:p>
    <w:p w14:paraId="0C9BA6A8" w14:textId="77777777" w:rsidR="00C82E91" w:rsidRPr="00A22F60" w:rsidRDefault="00A22F60" w:rsidP="00E90EA8">
      <w:pPr>
        <w:pStyle w:val="ListParagraph"/>
        <w:numPr>
          <w:ilvl w:val="0"/>
          <w:numId w:val="1"/>
        </w:numPr>
        <w:rPr>
          <w:rFonts w:ascii="Arial" w:hAnsi="Arial" w:cs="Arial"/>
          <w:szCs w:val="22"/>
        </w:rPr>
      </w:pPr>
      <w:r w:rsidRPr="001323AE">
        <w:rPr>
          <w:rFonts w:ascii="Arial" w:hAnsi="Arial" w:cs="Arial"/>
          <w:szCs w:val="22"/>
        </w:rPr>
        <w:t xml:space="preserve">As </w:t>
      </w:r>
      <w:r>
        <w:rPr>
          <w:rFonts w:ascii="Arial" w:hAnsi="Arial" w:cs="Arial"/>
          <w:szCs w:val="22"/>
        </w:rPr>
        <w:t>with the devolution work programme we will seek to form strategic partnerships to support our lobbying work. More detail on this will be set out within the individual papers supporting each priority area.</w:t>
      </w:r>
    </w:p>
    <w:p w14:paraId="0C9BA6A9" w14:textId="77777777" w:rsidR="00630690" w:rsidRDefault="00630690" w:rsidP="00E90EA8">
      <w:pPr>
        <w:pStyle w:val="ListParagraph"/>
        <w:ind w:left="360"/>
        <w:rPr>
          <w:rFonts w:ascii="Arial" w:hAnsi="Arial" w:cs="Arial"/>
          <w:szCs w:val="22"/>
        </w:rPr>
      </w:pPr>
    </w:p>
    <w:p w14:paraId="0C9BA6AA" w14:textId="77777777" w:rsidR="00992E96" w:rsidRDefault="00992E96" w:rsidP="00841D53">
      <w:pPr>
        <w:rPr>
          <w:rFonts w:ascii="Arial" w:hAnsi="Arial" w:cs="Arial"/>
          <w:b/>
          <w:szCs w:val="22"/>
        </w:rPr>
      </w:pPr>
      <w:r>
        <w:rPr>
          <w:rFonts w:ascii="Arial" w:hAnsi="Arial" w:cs="Arial"/>
          <w:b/>
          <w:szCs w:val="22"/>
        </w:rPr>
        <w:t xml:space="preserve">Implications for Wales </w:t>
      </w:r>
    </w:p>
    <w:p w14:paraId="0C9BA6AB" w14:textId="77777777" w:rsidR="00F82574" w:rsidRDefault="00F82574" w:rsidP="00841D53">
      <w:pPr>
        <w:rPr>
          <w:rFonts w:ascii="Arial" w:hAnsi="Arial" w:cs="Arial"/>
          <w:b/>
          <w:szCs w:val="22"/>
        </w:rPr>
      </w:pPr>
    </w:p>
    <w:p w14:paraId="0C9BA6AC" w14:textId="77777777" w:rsidR="00A8470D" w:rsidRPr="00E90EA8" w:rsidRDefault="00A8470D" w:rsidP="001323AE">
      <w:pPr>
        <w:numPr>
          <w:ilvl w:val="0"/>
          <w:numId w:val="4"/>
        </w:numPr>
        <w:rPr>
          <w:rFonts w:ascii="Arial" w:hAnsi="Arial" w:cs="Arial"/>
          <w:b/>
          <w:szCs w:val="22"/>
        </w:rPr>
      </w:pPr>
      <w:r w:rsidRPr="00667B0E">
        <w:rPr>
          <w:rFonts w:ascii="Arial" w:hAnsi="Arial" w:cs="Arial"/>
          <w:szCs w:val="22"/>
          <w:lang w:val="en-US"/>
        </w:rPr>
        <w:t>Welsh local government has its own devolution journey.  Following the decision of the Welsh Government to end its policy of reducing the number of councils through local government restructuring, councils in Wales have been asked to develop proposals for shared services.  We are working with the WLGA to support its work with councils through sharing the learning</w:t>
      </w:r>
      <w:r w:rsidR="00D202BF">
        <w:rPr>
          <w:rFonts w:ascii="Arial" w:hAnsi="Arial" w:cs="Arial"/>
          <w:szCs w:val="22"/>
          <w:lang w:val="en-US"/>
        </w:rPr>
        <w:t xml:space="preserve"> from English councils and new combined a</w:t>
      </w:r>
      <w:r w:rsidRPr="00667B0E">
        <w:rPr>
          <w:rFonts w:ascii="Arial" w:hAnsi="Arial" w:cs="Arial"/>
          <w:szCs w:val="22"/>
          <w:lang w:val="en-US"/>
        </w:rPr>
        <w:t>uthorities.</w:t>
      </w:r>
      <w:r>
        <w:rPr>
          <w:rFonts w:ascii="Arial" w:hAnsi="Arial" w:cs="Arial"/>
          <w:szCs w:val="22"/>
          <w:lang w:val="en-US"/>
        </w:rPr>
        <w:t xml:space="preserve"> We are also working closely with the WLGA on issues arising from Brexit</w:t>
      </w:r>
      <w:r w:rsidR="00D202BF">
        <w:rPr>
          <w:rFonts w:ascii="Arial" w:hAnsi="Arial" w:cs="Arial"/>
          <w:szCs w:val="22"/>
          <w:lang w:val="en-US"/>
        </w:rPr>
        <w:t xml:space="preserve"> where these apply</w:t>
      </w:r>
      <w:r>
        <w:rPr>
          <w:rFonts w:ascii="Arial" w:hAnsi="Arial" w:cs="Arial"/>
          <w:szCs w:val="22"/>
          <w:lang w:val="en-US"/>
        </w:rPr>
        <w:t xml:space="preserve">. </w:t>
      </w:r>
    </w:p>
    <w:p w14:paraId="0C9BA6AD" w14:textId="77777777" w:rsidR="00992E96" w:rsidRDefault="00992E96" w:rsidP="00841D53">
      <w:pPr>
        <w:rPr>
          <w:rFonts w:ascii="Arial" w:hAnsi="Arial" w:cs="Arial"/>
          <w:b/>
          <w:szCs w:val="22"/>
        </w:rPr>
      </w:pPr>
    </w:p>
    <w:p w14:paraId="0C9BA6AE" w14:textId="77777777" w:rsidR="00992E96" w:rsidRDefault="003D667D" w:rsidP="00841D53">
      <w:pPr>
        <w:rPr>
          <w:rFonts w:ascii="Arial" w:hAnsi="Arial" w:cs="Arial"/>
          <w:b/>
          <w:szCs w:val="22"/>
        </w:rPr>
      </w:pPr>
      <w:r>
        <w:rPr>
          <w:rFonts w:ascii="Arial" w:hAnsi="Arial" w:cs="Arial"/>
          <w:b/>
          <w:szCs w:val="22"/>
        </w:rPr>
        <w:t>Financial i</w:t>
      </w:r>
      <w:r w:rsidR="00992E96" w:rsidRPr="004B0FD9">
        <w:rPr>
          <w:rFonts w:ascii="Arial" w:hAnsi="Arial" w:cs="Arial"/>
          <w:b/>
          <w:szCs w:val="22"/>
        </w:rPr>
        <w:t>mplications</w:t>
      </w:r>
    </w:p>
    <w:p w14:paraId="0C9BA6AF" w14:textId="77777777" w:rsidR="00992E96" w:rsidRPr="004B0FD9" w:rsidRDefault="00992E96" w:rsidP="00841D53">
      <w:pPr>
        <w:rPr>
          <w:rFonts w:ascii="Arial" w:hAnsi="Arial" w:cs="Arial"/>
          <w:szCs w:val="22"/>
        </w:rPr>
      </w:pPr>
    </w:p>
    <w:p w14:paraId="0C9BA6B0" w14:textId="77777777" w:rsidR="002634A5" w:rsidRPr="0051443A" w:rsidRDefault="00CE6A10" w:rsidP="001323AE">
      <w:pPr>
        <w:pStyle w:val="ListParagraph"/>
        <w:numPr>
          <w:ilvl w:val="0"/>
          <w:numId w:val="10"/>
        </w:numPr>
        <w:rPr>
          <w:rFonts w:ascii="Arial" w:hAnsi="Arial" w:cs="Arial"/>
          <w:szCs w:val="22"/>
        </w:rPr>
      </w:pPr>
      <w:r>
        <w:rPr>
          <w:rFonts w:ascii="Arial" w:hAnsi="Arial" w:cs="Arial"/>
          <w:szCs w:val="22"/>
        </w:rPr>
        <w:t xml:space="preserve">It is expected that </w:t>
      </w:r>
      <w:r w:rsidR="00F76458">
        <w:rPr>
          <w:rFonts w:ascii="Arial" w:hAnsi="Arial" w:cs="Arial"/>
          <w:szCs w:val="22"/>
        </w:rPr>
        <w:t>work programme</w:t>
      </w:r>
      <w:r>
        <w:rPr>
          <w:rFonts w:ascii="Arial" w:hAnsi="Arial" w:cs="Arial"/>
          <w:szCs w:val="22"/>
        </w:rPr>
        <w:t xml:space="preserve"> activities should be able to be met from the current budget.</w:t>
      </w:r>
    </w:p>
    <w:p w14:paraId="0C9BA6B1" w14:textId="77777777" w:rsidR="002634A5" w:rsidRDefault="002634A5" w:rsidP="00841D53">
      <w:pPr>
        <w:rPr>
          <w:rFonts w:ascii="Arial" w:hAnsi="Arial" w:cs="Arial"/>
          <w:szCs w:val="22"/>
        </w:rPr>
      </w:pPr>
    </w:p>
    <w:p w14:paraId="0C9BA6B2" w14:textId="77777777" w:rsidR="00992E96" w:rsidRPr="005F0364" w:rsidRDefault="00992E96" w:rsidP="00841D53">
      <w:pPr>
        <w:rPr>
          <w:rFonts w:ascii="Arial" w:hAnsi="Arial" w:cs="Arial"/>
          <w:szCs w:val="22"/>
        </w:rPr>
      </w:pPr>
      <w:r>
        <w:rPr>
          <w:rFonts w:ascii="Arial" w:hAnsi="Arial" w:cs="Arial"/>
          <w:b/>
          <w:szCs w:val="22"/>
        </w:rPr>
        <w:t>Next steps</w:t>
      </w:r>
    </w:p>
    <w:p w14:paraId="0C9BA6B3" w14:textId="77777777" w:rsidR="00992E96" w:rsidRPr="0021114E" w:rsidRDefault="00992E96" w:rsidP="00841D53">
      <w:pPr>
        <w:rPr>
          <w:rFonts w:ascii="Arial" w:hAnsi="Arial" w:cs="Arial"/>
          <w:szCs w:val="22"/>
        </w:rPr>
      </w:pPr>
    </w:p>
    <w:p w14:paraId="0C9BA6B4" w14:textId="77777777" w:rsidR="00992E96" w:rsidRDefault="00992E96" w:rsidP="001323AE">
      <w:pPr>
        <w:pStyle w:val="ListParagraph"/>
        <w:numPr>
          <w:ilvl w:val="0"/>
          <w:numId w:val="10"/>
        </w:numPr>
        <w:rPr>
          <w:rFonts w:ascii="Arial" w:hAnsi="Arial" w:cs="Arial"/>
          <w:szCs w:val="22"/>
        </w:rPr>
      </w:pPr>
      <w:r>
        <w:rPr>
          <w:rFonts w:ascii="Arial" w:hAnsi="Arial" w:cs="Arial"/>
          <w:szCs w:val="22"/>
        </w:rPr>
        <w:t>Members are asked to:</w:t>
      </w:r>
    </w:p>
    <w:p w14:paraId="0C9BA6B5" w14:textId="77777777" w:rsidR="00A055A8" w:rsidRDefault="00A055A8" w:rsidP="00841D53">
      <w:pPr>
        <w:pStyle w:val="ListParagraph"/>
        <w:ind w:left="360"/>
        <w:rPr>
          <w:rFonts w:ascii="Arial" w:hAnsi="Arial" w:cs="Arial"/>
          <w:szCs w:val="22"/>
        </w:rPr>
      </w:pPr>
    </w:p>
    <w:p w14:paraId="0C9BA6B6" w14:textId="22EC164A" w:rsidR="00985673" w:rsidRDefault="003D667D" w:rsidP="00E1360A">
      <w:pPr>
        <w:pStyle w:val="ListParagraph"/>
        <w:numPr>
          <w:ilvl w:val="1"/>
          <w:numId w:val="11"/>
        </w:numPr>
        <w:rPr>
          <w:rFonts w:ascii="Arial" w:hAnsi="Arial" w:cs="Arial"/>
          <w:szCs w:val="22"/>
        </w:rPr>
      </w:pPr>
      <w:r>
        <w:rPr>
          <w:rFonts w:ascii="Arial" w:hAnsi="Arial" w:cs="Arial"/>
          <w:szCs w:val="22"/>
        </w:rPr>
        <w:t>Consider and comment on the</w:t>
      </w:r>
      <w:r w:rsidR="00324978">
        <w:rPr>
          <w:rFonts w:ascii="Arial" w:hAnsi="Arial" w:cs="Arial"/>
          <w:szCs w:val="22"/>
        </w:rPr>
        <w:t xml:space="preserve"> overall balance of work</w:t>
      </w:r>
      <w:r w:rsidR="00985673">
        <w:rPr>
          <w:rFonts w:ascii="Arial" w:hAnsi="Arial" w:cs="Arial"/>
          <w:szCs w:val="22"/>
        </w:rPr>
        <w:t xml:space="preserve">, </w:t>
      </w:r>
      <w:r w:rsidR="00324978">
        <w:rPr>
          <w:rFonts w:ascii="Arial" w:hAnsi="Arial" w:cs="Arial"/>
          <w:szCs w:val="22"/>
        </w:rPr>
        <w:t>specific</w:t>
      </w:r>
      <w:r w:rsidR="00985673">
        <w:rPr>
          <w:rFonts w:ascii="Arial" w:hAnsi="Arial" w:cs="Arial"/>
          <w:szCs w:val="22"/>
        </w:rPr>
        <w:t>ally:</w:t>
      </w:r>
      <w:r>
        <w:rPr>
          <w:rFonts w:ascii="Arial" w:hAnsi="Arial" w:cs="Arial"/>
          <w:szCs w:val="22"/>
        </w:rPr>
        <w:t xml:space="preserve"> </w:t>
      </w:r>
    </w:p>
    <w:p w14:paraId="0C9BA6B7" w14:textId="77777777" w:rsidR="00985673" w:rsidRDefault="00985673" w:rsidP="001323AE">
      <w:pPr>
        <w:pStyle w:val="ListParagraph"/>
        <w:ind w:left="1224"/>
        <w:rPr>
          <w:rFonts w:ascii="Arial" w:hAnsi="Arial" w:cs="Arial"/>
          <w:szCs w:val="22"/>
        </w:rPr>
      </w:pPr>
    </w:p>
    <w:p w14:paraId="0C9BA6B8" w14:textId="77777777" w:rsidR="00992E96" w:rsidRDefault="00985673" w:rsidP="001323AE">
      <w:pPr>
        <w:pStyle w:val="ListParagraph"/>
        <w:numPr>
          <w:ilvl w:val="2"/>
          <w:numId w:val="10"/>
        </w:numPr>
        <w:rPr>
          <w:rFonts w:ascii="Arial" w:hAnsi="Arial" w:cs="Arial"/>
          <w:szCs w:val="22"/>
        </w:rPr>
      </w:pPr>
      <w:r>
        <w:rPr>
          <w:rFonts w:ascii="Arial" w:hAnsi="Arial" w:cs="Arial"/>
          <w:szCs w:val="22"/>
        </w:rPr>
        <w:t>T</w:t>
      </w:r>
      <w:r w:rsidRPr="00413E95">
        <w:rPr>
          <w:rFonts w:ascii="Arial" w:hAnsi="Arial" w:cs="Arial"/>
          <w:szCs w:val="22"/>
        </w:rPr>
        <w:t xml:space="preserve">o </w:t>
      </w:r>
      <w:r>
        <w:rPr>
          <w:rFonts w:ascii="Arial" w:hAnsi="Arial" w:cs="Arial"/>
          <w:szCs w:val="22"/>
        </w:rPr>
        <w:t>develop a refreshed case</w:t>
      </w:r>
      <w:r w:rsidRPr="00413E95">
        <w:rPr>
          <w:rFonts w:ascii="Arial" w:hAnsi="Arial" w:cs="Arial"/>
          <w:szCs w:val="22"/>
        </w:rPr>
        <w:t xml:space="preserve"> for devolution to non-metropolitan areas </w:t>
      </w:r>
      <w:r>
        <w:rPr>
          <w:rFonts w:ascii="Arial" w:hAnsi="Arial" w:cs="Arial"/>
          <w:szCs w:val="22"/>
        </w:rPr>
        <w:t>as part of local government’s wider role in shaping and supporting post-Brexit Britain as described in paragraphs 12 to 1</w:t>
      </w:r>
      <w:r w:rsidR="00036DA7">
        <w:rPr>
          <w:rFonts w:ascii="Arial" w:hAnsi="Arial" w:cs="Arial"/>
          <w:szCs w:val="22"/>
        </w:rPr>
        <w:t>6.</w:t>
      </w:r>
    </w:p>
    <w:p w14:paraId="1DB1137F" w14:textId="77777777" w:rsidR="008F3C8D" w:rsidRDefault="008F3C8D" w:rsidP="008F3C8D">
      <w:pPr>
        <w:pStyle w:val="ListParagraph"/>
        <w:ind w:left="1224"/>
        <w:rPr>
          <w:rFonts w:ascii="Arial" w:hAnsi="Arial" w:cs="Arial"/>
          <w:szCs w:val="22"/>
        </w:rPr>
      </w:pPr>
    </w:p>
    <w:p w14:paraId="0C9BA6B9" w14:textId="77777777" w:rsidR="00985673" w:rsidRDefault="00985673" w:rsidP="001323AE">
      <w:pPr>
        <w:pStyle w:val="ListParagraph"/>
        <w:numPr>
          <w:ilvl w:val="2"/>
          <w:numId w:val="10"/>
        </w:numPr>
        <w:rPr>
          <w:rFonts w:ascii="Arial" w:hAnsi="Arial" w:cs="Arial"/>
          <w:szCs w:val="22"/>
        </w:rPr>
      </w:pPr>
      <w:r>
        <w:rPr>
          <w:rFonts w:ascii="Arial" w:hAnsi="Arial" w:cs="Arial"/>
          <w:szCs w:val="22"/>
        </w:rPr>
        <w:t>To continue to ‘chip away’ on a departmental basis and seek to win greater powers for local government against the board’s priorities and support longer term ambitions for wider devolution set out in paragraph 1</w:t>
      </w:r>
      <w:r w:rsidR="00036DA7">
        <w:rPr>
          <w:rFonts w:ascii="Arial" w:hAnsi="Arial" w:cs="Arial"/>
          <w:szCs w:val="22"/>
        </w:rPr>
        <w:t>7.</w:t>
      </w:r>
    </w:p>
    <w:p w14:paraId="65C5C989" w14:textId="77777777" w:rsidR="008F3C8D" w:rsidRPr="00E1360A" w:rsidRDefault="008F3C8D" w:rsidP="00E1360A">
      <w:pPr>
        <w:rPr>
          <w:rFonts w:ascii="Arial" w:hAnsi="Arial" w:cs="Arial"/>
          <w:szCs w:val="22"/>
        </w:rPr>
      </w:pPr>
    </w:p>
    <w:p w14:paraId="0C9BA6BA" w14:textId="77777777" w:rsidR="00985673" w:rsidRDefault="00985673" w:rsidP="001323AE">
      <w:pPr>
        <w:pStyle w:val="ListParagraph"/>
        <w:numPr>
          <w:ilvl w:val="2"/>
          <w:numId w:val="10"/>
        </w:numPr>
        <w:rPr>
          <w:rFonts w:ascii="Arial" w:hAnsi="Arial" w:cs="Arial"/>
          <w:szCs w:val="22"/>
        </w:rPr>
      </w:pPr>
      <w:r>
        <w:rPr>
          <w:rFonts w:ascii="Arial" w:hAnsi="Arial" w:cs="Arial"/>
          <w:szCs w:val="22"/>
        </w:rPr>
        <w:t xml:space="preserve">To continue to contribute to the wider work of the LGA’s policy boards including the Industrial Strategy and Brexit as described in paragraph 4 and Annex A. </w:t>
      </w:r>
    </w:p>
    <w:p w14:paraId="0C9BA6BB" w14:textId="77777777" w:rsidR="00A055A8" w:rsidRDefault="00A055A8" w:rsidP="00841D53">
      <w:pPr>
        <w:pStyle w:val="ListParagraph"/>
        <w:ind w:left="788"/>
        <w:rPr>
          <w:rFonts w:ascii="Arial" w:hAnsi="Arial" w:cs="Arial"/>
          <w:szCs w:val="22"/>
        </w:rPr>
      </w:pPr>
    </w:p>
    <w:p w14:paraId="0C9BA6BC" w14:textId="77777777" w:rsidR="006375C3" w:rsidRDefault="006375C3">
      <w:pPr>
        <w:spacing w:after="160" w:line="259" w:lineRule="auto"/>
        <w:rPr>
          <w:rFonts w:ascii="Arial" w:hAnsi="Arial" w:cs="Arial"/>
          <w:b/>
          <w:sz w:val="28"/>
          <w:szCs w:val="28"/>
        </w:rPr>
      </w:pPr>
      <w:r>
        <w:rPr>
          <w:rFonts w:ascii="Arial" w:hAnsi="Arial" w:cs="Arial"/>
          <w:sz w:val="28"/>
          <w:szCs w:val="28"/>
        </w:rPr>
        <w:br w:type="page"/>
      </w:r>
    </w:p>
    <w:p w14:paraId="0C9BA6BD" w14:textId="77777777" w:rsidR="00E036CA" w:rsidRDefault="006375C3" w:rsidP="001323AE">
      <w:pPr>
        <w:pStyle w:val="LGAItemNoHeading"/>
        <w:spacing w:before="240"/>
        <w:rPr>
          <w:rFonts w:ascii="Arial" w:hAnsi="Arial" w:cs="Arial"/>
          <w:sz w:val="28"/>
          <w:szCs w:val="28"/>
        </w:rPr>
      </w:pPr>
      <w:r w:rsidRPr="001323AE">
        <w:rPr>
          <w:rFonts w:ascii="Arial" w:hAnsi="Arial" w:cs="Arial"/>
          <w:sz w:val="28"/>
          <w:szCs w:val="28"/>
        </w:rPr>
        <w:lastRenderedPageBreak/>
        <w:t>Annex A</w:t>
      </w:r>
    </w:p>
    <w:p w14:paraId="0C9BA6BE" w14:textId="77777777" w:rsidR="006375C3" w:rsidRDefault="006375C3" w:rsidP="006375C3">
      <w:pPr>
        <w:pStyle w:val="MainText"/>
        <w:spacing w:line="240" w:lineRule="auto"/>
        <w:rPr>
          <w:rFonts w:ascii="Arial" w:hAnsi="Arial" w:cs="Arial"/>
          <w:b/>
          <w:szCs w:val="22"/>
        </w:rPr>
      </w:pPr>
      <w:r>
        <w:rPr>
          <w:rFonts w:ascii="Arial" w:hAnsi="Arial" w:cs="Arial"/>
          <w:b/>
          <w:szCs w:val="22"/>
        </w:rPr>
        <w:t>Brexit</w:t>
      </w:r>
    </w:p>
    <w:p w14:paraId="0C9BA6BF" w14:textId="77777777" w:rsidR="006375C3" w:rsidRDefault="006375C3" w:rsidP="006375C3">
      <w:pPr>
        <w:pStyle w:val="MainText"/>
        <w:spacing w:line="240" w:lineRule="auto"/>
        <w:rPr>
          <w:rFonts w:ascii="Arial" w:hAnsi="Arial" w:cs="Arial"/>
          <w:b/>
          <w:szCs w:val="22"/>
        </w:rPr>
      </w:pPr>
    </w:p>
    <w:p w14:paraId="0C9BA6C0" w14:textId="77777777" w:rsidR="006375C3" w:rsidRPr="005D7849" w:rsidRDefault="006375C3" w:rsidP="001323AE">
      <w:pPr>
        <w:pStyle w:val="ListParagraph"/>
        <w:numPr>
          <w:ilvl w:val="0"/>
          <w:numId w:val="7"/>
        </w:numPr>
        <w:rPr>
          <w:rFonts w:ascii="Arial" w:hAnsi="Arial" w:cs="Arial"/>
          <w:b/>
          <w:szCs w:val="22"/>
        </w:rPr>
      </w:pPr>
      <w:r>
        <w:rPr>
          <w:rFonts w:ascii="Arial" w:hAnsi="Arial" w:cs="Arial"/>
          <w:szCs w:val="22"/>
        </w:rPr>
        <w:t xml:space="preserve">In December 2016, </w:t>
      </w:r>
      <w:r>
        <w:rPr>
          <w:rFonts w:ascii="Arial" w:hAnsi="Arial" w:cs="Arial"/>
        </w:rPr>
        <w:t>a</w:t>
      </w:r>
      <w:r w:rsidRPr="002C085D">
        <w:rPr>
          <w:rFonts w:ascii="Arial" w:hAnsi="Arial" w:cs="Arial"/>
        </w:rPr>
        <w:t xml:space="preserve">s part of the </w:t>
      </w:r>
      <w:r>
        <w:rPr>
          <w:rFonts w:ascii="Arial" w:hAnsi="Arial" w:cs="Arial"/>
        </w:rPr>
        <w:t>LGA’</w:t>
      </w:r>
      <w:r w:rsidRPr="002C085D">
        <w:rPr>
          <w:rFonts w:ascii="Arial" w:hAnsi="Arial" w:cs="Arial"/>
        </w:rPr>
        <w:t xml:space="preserve">s co-ordinated response to Britain’s </w:t>
      </w:r>
      <w:r>
        <w:rPr>
          <w:rFonts w:ascii="Arial" w:hAnsi="Arial" w:cs="Arial"/>
        </w:rPr>
        <w:t xml:space="preserve">impending </w:t>
      </w:r>
      <w:r w:rsidRPr="002C085D">
        <w:rPr>
          <w:rFonts w:ascii="Arial" w:hAnsi="Arial" w:cs="Arial"/>
        </w:rPr>
        <w:t xml:space="preserve">departure from the </w:t>
      </w:r>
      <w:r>
        <w:rPr>
          <w:rFonts w:ascii="Arial" w:hAnsi="Arial" w:cs="Arial"/>
        </w:rPr>
        <w:t xml:space="preserve">European Union, </w:t>
      </w:r>
      <w:r>
        <w:rPr>
          <w:rFonts w:ascii="Arial" w:hAnsi="Arial" w:cs="Arial"/>
          <w:szCs w:val="22"/>
        </w:rPr>
        <w:t>Leadership Board endorsed a programme of work across five areas:</w:t>
      </w:r>
    </w:p>
    <w:p w14:paraId="0C9BA6C1" w14:textId="77777777" w:rsidR="006375C3" w:rsidRPr="005D7849" w:rsidRDefault="006375C3" w:rsidP="006375C3">
      <w:pPr>
        <w:pStyle w:val="ListParagraph"/>
        <w:ind w:left="360"/>
        <w:rPr>
          <w:rFonts w:ascii="Arial" w:hAnsi="Arial" w:cs="Arial"/>
          <w:b/>
          <w:szCs w:val="22"/>
        </w:rPr>
      </w:pPr>
    </w:p>
    <w:p w14:paraId="0C9BA6C2" w14:textId="77777777" w:rsidR="006375C3" w:rsidRPr="003522D8" w:rsidRDefault="006375C3" w:rsidP="001323AE">
      <w:pPr>
        <w:pStyle w:val="MainText"/>
        <w:numPr>
          <w:ilvl w:val="1"/>
          <w:numId w:val="7"/>
        </w:numPr>
        <w:spacing w:line="240" w:lineRule="auto"/>
        <w:rPr>
          <w:rFonts w:ascii="Arial" w:hAnsi="Arial" w:cs="Arial"/>
          <w:szCs w:val="22"/>
        </w:rPr>
      </w:pPr>
      <w:r w:rsidRPr="003522D8">
        <w:rPr>
          <w:rFonts w:ascii="Arial" w:hAnsi="Arial" w:cs="Arial"/>
          <w:szCs w:val="22"/>
        </w:rPr>
        <w:t xml:space="preserve">The future </w:t>
      </w:r>
      <w:r>
        <w:rPr>
          <w:rFonts w:ascii="Arial" w:hAnsi="Arial" w:cs="Arial"/>
          <w:szCs w:val="22"/>
        </w:rPr>
        <w:t xml:space="preserve">autonomy </w:t>
      </w:r>
      <w:r w:rsidRPr="003522D8">
        <w:rPr>
          <w:rFonts w:ascii="Arial" w:hAnsi="Arial" w:cs="Arial"/>
          <w:szCs w:val="22"/>
        </w:rPr>
        <w:t>of local government;</w:t>
      </w:r>
    </w:p>
    <w:p w14:paraId="0C9BA6C3" w14:textId="77777777" w:rsidR="006375C3" w:rsidRPr="003522D8" w:rsidRDefault="006375C3" w:rsidP="001323AE">
      <w:pPr>
        <w:pStyle w:val="MainText"/>
        <w:numPr>
          <w:ilvl w:val="1"/>
          <w:numId w:val="7"/>
        </w:numPr>
        <w:spacing w:line="240" w:lineRule="auto"/>
        <w:rPr>
          <w:rFonts w:ascii="Arial" w:hAnsi="Arial" w:cs="Arial"/>
          <w:szCs w:val="22"/>
        </w:rPr>
      </w:pPr>
      <w:r w:rsidRPr="003522D8">
        <w:rPr>
          <w:rFonts w:ascii="Arial" w:hAnsi="Arial" w:cs="Arial"/>
          <w:szCs w:val="22"/>
        </w:rPr>
        <w:t>Securing investment that is currently sourced from the EU;</w:t>
      </w:r>
    </w:p>
    <w:p w14:paraId="0C9BA6C4" w14:textId="77777777" w:rsidR="006375C3" w:rsidRPr="003522D8" w:rsidRDefault="006375C3" w:rsidP="001323AE">
      <w:pPr>
        <w:pStyle w:val="MainText"/>
        <w:numPr>
          <w:ilvl w:val="1"/>
          <w:numId w:val="7"/>
        </w:numPr>
        <w:spacing w:line="240" w:lineRule="auto"/>
        <w:rPr>
          <w:rFonts w:ascii="Arial" w:hAnsi="Arial" w:cs="Arial"/>
          <w:szCs w:val="22"/>
        </w:rPr>
      </w:pPr>
      <w:r w:rsidRPr="003522D8">
        <w:rPr>
          <w:rFonts w:ascii="Arial" w:hAnsi="Arial" w:cs="Arial"/>
          <w:szCs w:val="22"/>
        </w:rPr>
        <w:t>Developing a new legal base for local government;</w:t>
      </w:r>
    </w:p>
    <w:p w14:paraId="0C9BA6C5" w14:textId="77777777" w:rsidR="006375C3" w:rsidRPr="003522D8" w:rsidRDefault="006375C3" w:rsidP="001323AE">
      <w:pPr>
        <w:pStyle w:val="MainText"/>
        <w:numPr>
          <w:ilvl w:val="1"/>
          <w:numId w:val="7"/>
        </w:numPr>
        <w:spacing w:line="240" w:lineRule="auto"/>
        <w:rPr>
          <w:rFonts w:ascii="Arial" w:hAnsi="Arial" w:cs="Arial"/>
          <w:szCs w:val="22"/>
        </w:rPr>
      </w:pPr>
      <w:r w:rsidRPr="003522D8">
        <w:rPr>
          <w:rFonts w:ascii="Arial" w:hAnsi="Arial" w:cs="Arial"/>
          <w:szCs w:val="22"/>
        </w:rPr>
        <w:t>Community cohesion; and</w:t>
      </w:r>
    </w:p>
    <w:p w14:paraId="0C9BA6C6" w14:textId="77777777" w:rsidR="006375C3" w:rsidRPr="003522D8" w:rsidRDefault="006375C3" w:rsidP="001323AE">
      <w:pPr>
        <w:pStyle w:val="MainText"/>
        <w:numPr>
          <w:ilvl w:val="1"/>
          <w:numId w:val="7"/>
        </w:numPr>
        <w:spacing w:line="240" w:lineRule="auto"/>
        <w:rPr>
          <w:rFonts w:ascii="Arial" w:hAnsi="Arial" w:cs="Arial"/>
          <w:szCs w:val="22"/>
        </w:rPr>
      </w:pPr>
      <w:r w:rsidRPr="003522D8">
        <w:rPr>
          <w:rFonts w:ascii="Arial" w:hAnsi="Arial" w:cs="Arial"/>
          <w:szCs w:val="22"/>
        </w:rPr>
        <w:t>Place-based impact.</w:t>
      </w:r>
    </w:p>
    <w:p w14:paraId="0C9BA6C7" w14:textId="77777777" w:rsidR="006375C3" w:rsidRPr="00E90EA8" w:rsidRDefault="006375C3" w:rsidP="006375C3">
      <w:pPr>
        <w:rPr>
          <w:rFonts w:ascii="Arial" w:hAnsi="Arial" w:cs="Arial"/>
          <w:szCs w:val="22"/>
        </w:rPr>
      </w:pPr>
    </w:p>
    <w:p w14:paraId="0C9BA6C8" w14:textId="77777777" w:rsidR="006375C3" w:rsidRDefault="006375C3" w:rsidP="001323AE">
      <w:pPr>
        <w:pStyle w:val="ListParagraph"/>
        <w:numPr>
          <w:ilvl w:val="0"/>
          <w:numId w:val="7"/>
        </w:numPr>
        <w:rPr>
          <w:rFonts w:ascii="Arial" w:hAnsi="Arial" w:cs="Arial"/>
          <w:szCs w:val="22"/>
        </w:rPr>
      </w:pPr>
      <w:r>
        <w:rPr>
          <w:rFonts w:ascii="Arial" w:hAnsi="Arial" w:cs="Arial"/>
          <w:szCs w:val="22"/>
        </w:rPr>
        <w:t xml:space="preserve">As noted above, this Board and the City Regions Board were commissioned to start work on the first of these areas: the future autonomy of local government. Subsequently, both Boards oversaw the drafting of a set of principles that might strengthen the future position of local government and the development of a framework for engagement that sought to align the repatriation of EU law with our wider ambitions for devolution and public service reform. </w:t>
      </w:r>
    </w:p>
    <w:p w14:paraId="0C9BA6C9" w14:textId="77777777" w:rsidR="006375C3" w:rsidRDefault="006375C3" w:rsidP="006375C3">
      <w:pPr>
        <w:pStyle w:val="ListParagraph"/>
        <w:ind w:left="360"/>
        <w:rPr>
          <w:rFonts w:ascii="Arial" w:hAnsi="Arial" w:cs="Arial"/>
          <w:szCs w:val="22"/>
        </w:rPr>
      </w:pPr>
    </w:p>
    <w:p w14:paraId="0C9BA6CA" w14:textId="77777777" w:rsidR="006375C3" w:rsidRDefault="006375C3" w:rsidP="001323AE">
      <w:pPr>
        <w:pStyle w:val="ListParagraph"/>
        <w:numPr>
          <w:ilvl w:val="0"/>
          <w:numId w:val="7"/>
        </w:numPr>
        <w:rPr>
          <w:rFonts w:ascii="Arial" w:hAnsi="Arial" w:cs="Arial"/>
          <w:szCs w:val="22"/>
        </w:rPr>
      </w:pPr>
      <w:r w:rsidRPr="00630690">
        <w:rPr>
          <w:rFonts w:ascii="Arial" w:hAnsi="Arial" w:cs="Arial"/>
          <w:szCs w:val="22"/>
        </w:rPr>
        <w:t>The publication of the EU (Withdrawal) Bill has further strengthened the case for thinking along these lines and work has progressed over the summer to prepare the ground for further policy and public affairs activity in the autumn. Within this context,</w:t>
      </w:r>
      <w:r>
        <w:rPr>
          <w:rFonts w:ascii="Arial" w:hAnsi="Arial" w:cs="Arial"/>
          <w:szCs w:val="22"/>
        </w:rPr>
        <w:t xml:space="preserve"> </w:t>
      </w:r>
      <w:r w:rsidRPr="00630690">
        <w:rPr>
          <w:rFonts w:ascii="Arial" w:hAnsi="Arial" w:cs="Arial"/>
          <w:szCs w:val="22"/>
        </w:rPr>
        <w:t>Jeremy Smith, the former chief executive of the European L</w:t>
      </w:r>
      <w:r>
        <w:rPr>
          <w:rFonts w:ascii="Arial" w:hAnsi="Arial" w:cs="Arial"/>
          <w:szCs w:val="22"/>
        </w:rPr>
        <w:t xml:space="preserve">ocal </w:t>
      </w:r>
      <w:r w:rsidRPr="00630690">
        <w:rPr>
          <w:rFonts w:ascii="Arial" w:hAnsi="Arial" w:cs="Arial"/>
          <w:szCs w:val="22"/>
        </w:rPr>
        <w:t>G</w:t>
      </w:r>
      <w:r>
        <w:rPr>
          <w:rFonts w:ascii="Arial" w:hAnsi="Arial" w:cs="Arial"/>
          <w:szCs w:val="22"/>
        </w:rPr>
        <w:t xml:space="preserve">overnment </w:t>
      </w:r>
      <w:r w:rsidRPr="00630690">
        <w:rPr>
          <w:rFonts w:ascii="Arial" w:hAnsi="Arial" w:cs="Arial"/>
          <w:szCs w:val="22"/>
        </w:rPr>
        <w:t>A</w:t>
      </w:r>
      <w:r>
        <w:rPr>
          <w:rFonts w:ascii="Arial" w:hAnsi="Arial" w:cs="Arial"/>
          <w:szCs w:val="22"/>
        </w:rPr>
        <w:t>ssociation</w:t>
      </w:r>
      <w:r w:rsidRPr="00630690">
        <w:rPr>
          <w:rFonts w:ascii="Arial" w:hAnsi="Arial" w:cs="Arial"/>
          <w:szCs w:val="22"/>
        </w:rPr>
        <w:t xml:space="preserve"> </w:t>
      </w:r>
      <w:r>
        <w:rPr>
          <w:rFonts w:ascii="Arial" w:hAnsi="Arial" w:cs="Arial"/>
          <w:szCs w:val="22"/>
        </w:rPr>
        <w:t>was commissioned to prepare a report that examined UK local government’s existing rights in the EU’s policy and legislative processes through membership of the European Committee of Regions.</w:t>
      </w:r>
    </w:p>
    <w:p w14:paraId="0C9BA6CB" w14:textId="77777777" w:rsidR="006375C3" w:rsidRPr="00347710" w:rsidRDefault="006375C3" w:rsidP="006375C3">
      <w:pPr>
        <w:rPr>
          <w:rFonts w:ascii="Arial" w:hAnsi="Arial" w:cs="Arial"/>
          <w:szCs w:val="22"/>
        </w:rPr>
      </w:pPr>
    </w:p>
    <w:p w14:paraId="0C9BA6CC" w14:textId="77777777" w:rsidR="006375C3" w:rsidRDefault="006375C3" w:rsidP="001323AE">
      <w:pPr>
        <w:pStyle w:val="ListParagraph"/>
        <w:numPr>
          <w:ilvl w:val="0"/>
          <w:numId w:val="7"/>
        </w:numPr>
        <w:rPr>
          <w:rFonts w:ascii="Arial" w:hAnsi="Arial" w:cs="Arial"/>
          <w:szCs w:val="22"/>
        </w:rPr>
      </w:pPr>
      <w:r>
        <w:rPr>
          <w:rFonts w:ascii="Arial" w:hAnsi="Arial" w:cs="Arial"/>
          <w:szCs w:val="22"/>
        </w:rPr>
        <w:t>A working draft of this report has now been completed which identifies the potential for a loss of rights for local government if an analogous process of formal consultation is not adopted by national government. This line of argument will be used to inform our public affairs activity relating to the passage of the EU (Withdrawal) Bill.</w:t>
      </w:r>
      <w:r>
        <w:rPr>
          <w:rStyle w:val="FootnoteReference"/>
          <w:rFonts w:ascii="Arial" w:hAnsi="Arial" w:cs="Arial"/>
          <w:szCs w:val="22"/>
        </w:rPr>
        <w:footnoteReference w:id="1"/>
      </w:r>
    </w:p>
    <w:p w14:paraId="0C9BA6CD" w14:textId="77777777" w:rsidR="006375C3" w:rsidRDefault="006375C3" w:rsidP="006375C3">
      <w:pPr>
        <w:pStyle w:val="ListParagraph"/>
        <w:ind w:left="360"/>
        <w:rPr>
          <w:rFonts w:ascii="Arial" w:hAnsi="Arial" w:cs="Arial"/>
          <w:szCs w:val="22"/>
        </w:rPr>
      </w:pPr>
    </w:p>
    <w:p w14:paraId="0C9BA6CE" w14:textId="77777777" w:rsidR="00FD2E8C" w:rsidRDefault="006375C3" w:rsidP="001323AE">
      <w:pPr>
        <w:pStyle w:val="ListParagraph"/>
        <w:numPr>
          <w:ilvl w:val="0"/>
          <w:numId w:val="7"/>
        </w:numPr>
        <w:rPr>
          <w:rFonts w:ascii="Arial" w:hAnsi="Arial" w:cs="Arial"/>
          <w:szCs w:val="22"/>
        </w:rPr>
      </w:pPr>
      <w:r>
        <w:rPr>
          <w:rFonts w:ascii="Arial" w:hAnsi="Arial" w:cs="Arial"/>
          <w:szCs w:val="22"/>
        </w:rPr>
        <w:t xml:space="preserve">The </w:t>
      </w:r>
      <w:r w:rsidR="00FD2E8C">
        <w:rPr>
          <w:rFonts w:ascii="Arial" w:hAnsi="Arial" w:cs="Arial"/>
          <w:szCs w:val="22"/>
        </w:rPr>
        <w:t>LGA continues to pursue a targeted programme of work around leaving the EU. This includes:</w:t>
      </w:r>
    </w:p>
    <w:p w14:paraId="0C9BA6CF" w14:textId="77777777" w:rsidR="00FD2E8C" w:rsidRPr="001323AE" w:rsidRDefault="00FD2E8C" w:rsidP="001323AE">
      <w:pPr>
        <w:pStyle w:val="ListParagraph"/>
        <w:rPr>
          <w:rFonts w:ascii="Arial" w:hAnsi="Arial" w:cs="Arial"/>
          <w:szCs w:val="22"/>
        </w:rPr>
      </w:pPr>
    </w:p>
    <w:p w14:paraId="0C9BA6D0" w14:textId="77777777" w:rsidR="00FD2E8C" w:rsidRDefault="00FD2E8C" w:rsidP="001323AE">
      <w:pPr>
        <w:pStyle w:val="ListParagraph"/>
        <w:numPr>
          <w:ilvl w:val="1"/>
          <w:numId w:val="7"/>
        </w:numPr>
        <w:rPr>
          <w:rFonts w:ascii="Arial" w:hAnsi="Arial" w:cs="Arial"/>
          <w:szCs w:val="22"/>
        </w:rPr>
      </w:pPr>
      <w:r w:rsidRPr="001323AE">
        <w:rPr>
          <w:rFonts w:ascii="Arial" w:hAnsi="Arial" w:cs="Arial"/>
          <w:b/>
          <w:szCs w:val="22"/>
        </w:rPr>
        <w:t>Workforce</w:t>
      </w:r>
      <w:r w:rsidRPr="00FD2E8C">
        <w:rPr>
          <w:rFonts w:ascii="Arial" w:hAnsi="Arial" w:cs="Arial"/>
          <w:szCs w:val="22"/>
        </w:rPr>
        <w:t xml:space="preserve"> Councils play the leading role in bringing communities together and will be important in tackling challenges such as the retention of skilled workers. For example, 7 per cent of existing adult social care staff come from the continuing EU and 13 per</w:t>
      </w:r>
      <w:r>
        <w:rPr>
          <w:rFonts w:ascii="Arial" w:hAnsi="Arial" w:cs="Arial"/>
          <w:szCs w:val="22"/>
        </w:rPr>
        <w:t xml:space="preserve"> </w:t>
      </w:r>
      <w:r w:rsidRPr="00FD2E8C">
        <w:rPr>
          <w:rFonts w:ascii="Arial" w:hAnsi="Arial" w:cs="Arial"/>
          <w:szCs w:val="22"/>
        </w:rPr>
        <w:t>cent of the construction workforce were born outside the UK. Securing a sustainable adult social care workforce and excellent care skills must be a priority</w:t>
      </w:r>
      <w:r>
        <w:rPr>
          <w:rFonts w:ascii="Arial" w:hAnsi="Arial" w:cs="Arial"/>
          <w:szCs w:val="22"/>
        </w:rPr>
        <w:t>.</w:t>
      </w:r>
    </w:p>
    <w:p w14:paraId="0C9BA6D1" w14:textId="77777777" w:rsidR="00FD2E8C" w:rsidRDefault="00FD2E8C" w:rsidP="001323AE">
      <w:pPr>
        <w:pStyle w:val="ListParagraph"/>
        <w:ind w:left="792"/>
        <w:rPr>
          <w:rFonts w:ascii="Arial" w:hAnsi="Arial" w:cs="Arial"/>
          <w:szCs w:val="22"/>
        </w:rPr>
      </w:pPr>
    </w:p>
    <w:p w14:paraId="0C9BA6D2" w14:textId="77777777" w:rsidR="00FD2E8C" w:rsidRDefault="00FD2E8C" w:rsidP="001323AE">
      <w:pPr>
        <w:pStyle w:val="ListParagraph"/>
        <w:numPr>
          <w:ilvl w:val="1"/>
          <w:numId w:val="7"/>
        </w:numPr>
        <w:rPr>
          <w:rFonts w:ascii="Arial" w:hAnsi="Arial" w:cs="Arial"/>
          <w:szCs w:val="22"/>
        </w:rPr>
      </w:pPr>
      <w:r w:rsidRPr="001323AE">
        <w:rPr>
          <w:rFonts w:ascii="Arial" w:hAnsi="Arial" w:cs="Arial"/>
          <w:b/>
          <w:szCs w:val="22"/>
        </w:rPr>
        <w:t>Funding</w:t>
      </w:r>
      <w:r w:rsidRPr="00FD2E8C">
        <w:rPr>
          <w:rFonts w:ascii="Arial" w:hAnsi="Arial" w:cs="Arial"/>
          <w:szCs w:val="22"/>
        </w:rPr>
        <w:t xml:space="preserve"> LGA research found that local areas need €10.5 billion (£8.4 billion) of EU funding replaced as part of a locally-led successor to EU regional aid after Brexit. Since the EU referendum, we have repeatedly called for a government commitment </w:t>
      </w:r>
      <w:r w:rsidRPr="00FD2E8C">
        <w:rPr>
          <w:rFonts w:ascii="Arial" w:hAnsi="Arial" w:cs="Arial"/>
          <w:szCs w:val="22"/>
        </w:rPr>
        <w:lastRenderedPageBreak/>
        <w:t>to replace vital EU regeneration funding. In its manifesto, the Government pledged to create a UK Shared Prosperity Fund to replace the money local areas currently receive from the EU. Council leaders want to work with the Government to avoid defaulting to a silo</w:t>
      </w:r>
      <w:r>
        <w:rPr>
          <w:rFonts w:ascii="Arial" w:hAnsi="Arial" w:cs="Arial"/>
          <w:szCs w:val="22"/>
        </w:rPr>
        <w:t xml:space="preserve"> </w:t>
      </w:r>
      <w:r w:rsidRPr="00FD2E8C">
        <w:rPr>
          <w:rFonts w:ascii="Arial" w:hAnsi="Arial" w:cs="Arial"/>
          <w:szCs w:val="22"/>
        </w:rPr>
        <w:t xml:space="preserve">approach and creating a like-for-like replacement of the current EU programme, which is often held up in bureaucracy and delay. Brexit provides an opportunity to give local areas greater say over how to target a new and simplified regional aid fund at local projects of benefit for local people and economies and best support infrastructure, environment, enterprise and social cohesion. </w:t>
      </w:r>
    </w:p>
    <w:p w14:paraId="0C9BA6D3" w14:textId="77777777" w:rsidR="00FD2E8C" w:rsidRPr="001323AE" w:rsidRDefault="00FD2E8C" w:rsidP="001323AE">
      <w:pPr>
        <w:pStyle w:val="ListParagraph"/>
        <w:rPr>
          <w:rFonts w:ascii="Arial" w:hAnsi="Arial" w:cs="Arial"/>
          <w:szCs w:val="22"/>
        </w:rPr>
      </w:pPr>
    </w:p>
    <w:p w14:paraId="0C9BA6D4" w14:textId="77777777" w:rsidR="006375C3" w:rsidRDefault="00FD2E8C" w:rsidP="001323AE">
      <w:pPr>
        <w:pStyle w:val="ListParagraph"/>
        <w:numPr>
          <w:ilvl w:val="1"/>
          <w:numId w:val="7"/>
        </w:numPr>
        <w:rPr>
          <w:rFonts w:ascii="Arial" w:hAnsi="Arial" w:cs="Arial"/>
          <w:szCs w:val="22"/>
        </w:rPr>
      </w:pPr>
      <w:r w:rsidRPr="001323AE">
        <w:rPr>
          <w:rFonts w:ascii="Arial" w:hAnsi="Arial" w:cs="Arial"/>
          <w:b/>
          <w:szCs w:val="22"/>
        </w:rPr>
        <w:t>Procurement</w:t>
      </w:r>
      <w:r w:rsidRPr="00FD2E8C">
        <w:rPr>
          <w:rFonts w:ascii="Arial" w:hAnsi="Arial" w:cs="Arial"/>
          <w:szCs w:val="22"/>
        </w:rPr>
        <w:t xml:space="preserve"> Councils currently have to follow EU-wide advertising and award procedures when they buy goods and services. The process sometimes sits uneasily with supporting the local economy. The EU process can also take between 3 and 18 months – twice as long as typical private sector procurement. Almost no public contracts end up being awarded to companies in other EU member states. Only 20 per cent of English councils receive expressions of interest from companies based in other EU countries. Across Europe, only 1.6 per cent of public contracts are awarded to companies in other member states. A lighter-touch system which simplifies this processes, and provides more flexibilities to promote local growth, is vital so that councils can procure to shorter timescales and lower high administration costs for businesses, especially small and medium-sized enterprises.</w:t>
      </w:r>
      <w:r w:rsidR="006375C3">
        <w:rPr>
          <w:rFonts w:ascii="Arial" w:hAnsi="Arial" w:cs="Arial"/>
          <w:szCs w:val="22"/>
        </w:rPr>
        <w:t xml:space="preserve"> </w:t>
      </w:r>
    </w:p>
    <w:p w14:paraId="1C940B9B" w14:textId="77777777" w:rsidR="008F3C8D" w:rsidRPr="008F3C8D" w:rsidRDefault="008F3C8D" w:rsidP="008F3C8D">
      <w:pPr>
        <w:pStyle w:val="ListParagraph"/>
        <w:rPr>
          <w:rFonts w:ascii="Arial" w:hAnsi="Arial" w:cs="Arial"/>
          <w:szCs w:val="22"/>
        </w:rPr>
      </w:pPr>
    </w:p>
    <w:p w14:paraId="732CE682" w14:textId="77777777" w:rsidR="008F3C8D" w:rsidRDefault="008F3C8D" w:rsidP="008F3C8D">
      <w:pPr>
        <w:rPr>
          <w:rFonts w:ascii="Arial" w:hAnsi="Arial" w:cs="Arial"/>
          <w:szCs w:val="22"/>
        </w:rPr>
      </w:pPr>
    </w:p>
    <w:p w14:paraId="225FC6CC" w14:textId="77777777" w:rsidR="008F3C8D" w:rsidRDefault="008F3C8D" w:rsidP="008F3C8D">
      <w:pPr>
        <w:rPr>
          <w:rFonts w:ascii="Arial" w:hAnsi="Arial" w:cs="Arial"/>
          <w:szCs w:val="22"/>
        </w:rPr>
      </w:pPr>
    </w:p>
    <w:p w14:paraId="4666F442" w14:textId="77777777" w:rsidR="008F3C8D" w:rsidRDefault="008F3C8D" w:rsidP="008F3C8D">
      <w:pPr>
        <w:rPr>
          <w:rFonts w:ascii="Arial" w:hAnsi="Arial" w:cs="Arial"/>
          <w:szCs w:val="22"/>
        </w:rPr>
      </w:pPr>
    </w:p>
    <w:p w14:paraId="5D62F127" w14:textId="77777777" w:rsidR="008F3C8D" w:rsidRDefault="008F3C8D" w:rsidP="008F3C8D">
      <w:pPr>
        <w:rPr>
          <w:rFonts w:ascii="Arial" w:hAnsi="Arial" w:cs="Arial"/>
          <w:szCs w:val="22"/>
        </w:rPr>
      </w:pPr>
    </w:p>
    <w:p w14:paraId="26C1F484" w14:textId="77777777" w:rsidR="008F3C8D" w:rsidRDefault="008F3C8D" w:rsidP="008F3C8D">
      <w:pPr>
        <w:rPr>
          <w:rFonts w:ascii="Arial" w:hAnsi="Arial" w:cs="Arial"/>
          <w:szCs w:val="22"/>
        </w:rPr>
      </w:pPr>
    </w:p>
    <w:p w14:paraId="6C533E16" w14:textId="77777777" w:rsidR="008F3C8D" w:rsidRDefault="008F3C8D" w:rsidP="008F3C8D">
      <w:pPr>
        <w:rPr>
          <w:rFonts w:ascii="Arial" w:hAnsi="Arial" w:cs="Arial"/>
          <w:szCs w:val="22"/>
        </w:rPr>
      </w:pPr>
    </w:p>
    <w:p w14:paraId="442F0169" w14:textId="77777777" w:rsidR="008F3C8D" w:rsidRDefault="008F3C8D" w:rsidP="008F3C8D">
      <w:pPr>
        <w:rPr>
          <w:rFonts w:ascii="Arial" w:hAnsi="Arial" w:cs="Arial"/>
          <w:szCs w:val="22"/>
        </w:rPr>
      </w:pPr>
    </w:p>
    <w:p w14:paraId="4B6ED19F" w14:textId="77777777" w:rsidR="008F3C8D" w:rsidRDefault="008F3C8D" w:rsidP="008F3C8D">
      <w:pPr>
        <w:rPr>
          <w:rFonts w:ascii="Arial" w:hAnsi="Arial" w:cs="Arial"/>
          <w:szCs w:val="22"/>
        </w:rPr>
      </w:pPr>
    </w:p>
    <w:p w14:paraId="39FDE540" w14:textId="77777777" w:rsidR="008F3C8D" w:rsidRDefault="008F3C8D" w:rsidP="008F3C8D">
      <w:pPr>
        <w:rPr>
          <w:rFonts w:ascii="Arial" w:hAnsi="Arial" w:cs="Arial"/>
          <w:szCs w:val="22"/>
        </w:rPr>
      </w:pPr>
    </w:p>
    <w:p w14:paraId="28C5EFF3" w14:textId="77777777" w:rsidR="008F3C8D" w:rsidRDefault="008F3C8D" w:rsidP="008F3C8D">
      <w:pPr>
        <w:rPr>
          <w:rFonts w:ascii="Arial" w:hAnsi="Arial" w:cs="Arial"/>
          <w:szCs w:val="22"/>
        </w:rPr>
      </w:pPr>
    </w:p>
    <w:p w14:paraId="26D8F6E8" w14:textId="77777777" w:rsidR="008F3C8D" w:rsidRDefault="008F3C8D" w:rsidP="008F3C8D">
      <w:pPr>
        <w:rPr>
          <w:rFonts w:ascii="Arial" w:hAnsi="Arial" w:cs="Arial"/>
          <w:szCs w:val="22"/>
        </w:rPr>
      </w:pPr>
    </w:p>
    <w:p w14:paraId="4DD2171A" w14:textId="77777777" w:rsidR="008F3C8D" w:rsidRDefault="008F3C8D" w:rsidP="008F3C8D">
      <w:pPr>
        <w:rPr>
          <w:rFonts w:ascii="Arial" w:hAnsi="Arial" w:cs="Arial"/>
          <w:szCs w:val="22"/>
        </w:rPr>
      </w:pPr>
    </w:p>
    <w:p w14:paraId="73DBF9EC" w14:textId="77777777" w:rsidR="008F3C8D" w:rsidRDefault="008F3C8D" w:rsidP="008F3C8D">
      <w:pPr>
        <w:rPr>
          <w:rFonts w:ascii="Arial" w:hAnsi="Arial" w:cs="Arial"/>
          <w:szCs w:val="22"/>
        </w:rPr>
      </w:pPr>
    </w:p>
    <w:p w14:paraId="76F0F958" w14:textId="77777777" w:rsidR="008F3C8D" w:rsidRDefault="008F3C8D" w:rsidP="008F3C8D">
      <w:pPr>
        <w:rPr>
          <w:rFonts w:ascii="Arial" w:hAnsi="Arial" w:cs="Arial"/>
          <w:szCs w:val="22"/>
        </w:rPr>
      </w:pPr>
    </w:p>
    <w:p w14:paraId="60489601" w14:textId="77777777" w:rsidR="008F3C8D" w:rsidRDefault="008F3C8D" w:rsidP="008F3C8D">
      <w:pPr>
        <w:rPr>
          <w:rFonts w:ascii="Arial" w:hAnsi="Arial" w:cs="Arial"/>
          <w:szCs w:val="22"/>
        </w:rPr>
      </w:pPr>
    </w:p>
    <w:p w14:paraId="77BB817B" w14:textId="77777777" w:rsidR="008F3C8D" w:rsidRDefault="008F3C8D" w:rsidP="008F3C8D">
      <w:pPr>
        <w:rPr>
          <w:rFonts w:ascii="Arial" w:hAnsi="Arial" w:cs="Arial"/>
          <w:szCs w:val="22"/>
        </w:rPr>
      </w:pPr>
    </w:p>
    <w:p w14:paraId="156DC806" w14:textId="77777777" w:rsidR="008F3C8D" w:rsidRDefault="008F3C8D" w:rsidP="008F3C8D">
      <w:pPr>
        <w:rPr>
          <w:rFonts w:ascii="Arial" w:hAnsi="Arial" w:cs="Arial"/>
          <w:szCs w:val="22"/>
        </w:rPr>
      </w:pPr>
    </w:p>
    <w:p w14:paraId="5FD384D7" w14:textId="77777777" w:rsidR="008F3C8D" w:rsidRDefault="008F3C8D" w:rsidP="008F3C8D">
      <w:pPr>
        <w:rPr>
          <w:rFonts w:ascii="Arial" w:hAnsi="Arial" w:cs="Arial"/>
          <w:szCs w:val="22"/>
        </w:rPr>
      </w:pPr>
    </w:p>
    <w:p w14:paraId="4CC4F6AC" w14:textId="77777777" w:rsidR="008F3C8D" w:rsidRDefault="008F3C8D" w:rsidP="008F3C8D">
      <w:pPr>
        <w:rPr>
          <w:rFonts w:ascii="Arial" w:hAnsi="Arial" w:cs="Arial"/>
          <w:szCs w:val="22"/>
        </w:rPr>
      </w:pPr>
    </w:p>
    <w:p w14:paraId="49A3F938" w14:textId="77777777" w:rsidR="008F3C8D" w:rsidRDefault="008F3C8D" w:rsidP="008F3C8D">
      <w:pPr>
        <w:rPr>
          <w:rFonts w:ascii="Arial" w:hAnsi="Arial" w:cs="Arial"/>
          <w:szCs w:val="22"/>
        </w:rPr>
      </w:pPr>
    </w:p>
    <w:p w14:paraId="012F7957" w14:textId="77777777" w:rsidR="008F3C8D" w:rsidRDefault="008F3C8D" w:rsidP="008F3C8D">
      <w:pPr>
        <w:rPr>
          <w:rFonts w:ascii="Arial" w:hAnsi="Arial" w:cs="Arial"/>
          <w:szCs w:val="22"/>
        </w:rPr>
      </w:pPr>
    </w:p>
    <w:p w14:paraId="413AE4DC" w14:textId="77777777" w:rsidR="008F3C8D" w:rsidRDefault="008F3C8D" w:rsidP="008F3C8D">
      <w:pPr>
        <w:rPr>
          <w:rFonts w:ascii="Arial" w:hAnsi="Arial" w:cs="Arial"/>
          <w:szCs w:val="22"/>
        </w:rPr>
      </w:pPr>
    </w:p>
    <w:p w14:paraId="36E6879C" w14:textId="77777777" w:rsidR="008F3C8D" w:rsidRDefault="008F3C8D" w:rsidP="008F3C8D">
      <w:pPr>
        <w:rPr>
          <w:rFonts w:ascii="Arial" w:hAnsi="Arial" w:cs="Arial"/>
          <w:szCs w:val="22"/>
        </w:rPr>
      </w:pPr>
    </w:p>
    <w:p w14:paraId="42A2E2D2" w14:textId="77777777" w:rsidR="008F3C8D" w:rsidRDefault="008F3C8D" w:rsidP="008F3C8D">
      <w:pPr>
        <w:rPr>
          <w:rFonts w:ascii="Arial" w:hAnsi="Arial" w:cs="Arial"/>
          <w:szCs w:val="22"/>
        </w:rPr>
      </w:pPr>
    </w:p>
    <w:p w14:paraId="3D58AFAD" w14:textId="77777777" w:rsidR="008F3C8D" w:rsidRDefault="008F3C8D" w:rsidP="008F3C8D">
      <w:pPr>
        <w:rPr>
          <w:rFonts w:ascii="Arial" w:hAnsi="Arial" w:cs="Arial"/>
          <w:szCs w:val="22"/>
        </w:rPr>
      </w:pPr>
    </w:p>
    <w:p w14:paraId="15CF9449" w14:textId="77777777" w:rsidR="008F3C8D" w:rsidRDefault="008F3C8D" w:rsidP="008F3C8D">
      <w:pPr>
        <w:rPr>
          <w:rFonts w:ascii="Arial" w:hAnsi="Arial" w:cs="Arial"/>
          <w:szCs w:val="22"/>
        </w:rPr>
      </w:pPr>
    </w:p>
    <w:p w14:paraId="1C2386D5" w14:textId="77777777" w:rsidR="008F3C8D" w:rsidRDefault="008F3C8D" w:rsidP="008F3C8D">
      <w:pPr>
        <w:rPr>
          <w:rFonts w:ascii="Arial" w:hAnsi="Arial" w:cs="Arial"/>
          <w:szCs w:val="22"/>
        </w:rPr>
      </w:pPr>
    </w:p>
    <w:p w14:paraId="34695CD4" w14:textId="77777777" w:rsidR="008F3C8D" w:rsidRDefault="008F3C8D" w:rsidP="008F3C8D">
      <w:pPr>
        <w:rPr>
          <w:rFonts w:ascii="Arial" w:hAnsi="Arial" w:cs="Arial"/>
          <w:szCs w:val="22"/>
        </w:rPr>
      </w:pPr>
    </w:p>
    <w:p w14:paraId="4DCDFACC" w14:textId="77777777" w:rsidR="008F3C8D" w:rsidRDefault="008F3C8D" w:rsidP="008F3C8D">
      <w:pPr>
        <w:rPr>
          <w:rFonts w:ascii="Arial" w:hAnsi="Arial" w:cs="Arial"/>
          <w:szCs w:val="22"/>
        </w:rPr>
      </w:pPr>
    </w:p>
    <w:p w14:paraId="5803F173" w14:textId="37E5A6C5" w:rsidR="008F3C8D" w:rsidRPr="008F3C8D" w:rsidRDefault="008F3C8D" w:rsidP="008F3C8D">
      <w:pPr>
        <w:pStyle w:val="LGAItemNoHeading"/>
        <w:spacing w:before="240"/>
        <w:rPr>
          <w:rFonts w:ascii="Arial" w:hAnsi="Arial" w:cs="Arial"/>
          <w:sz w:val="28"/>
          <w:szCs w:val="28"/>
        </w:rPr>
      </w:pPr>
      <w:r w:rsidRPr="008F3C8D">
        <w:rPr>
          <w:rFonts w:ascii="Arial" w:hAnsi="Arial" w:cs="Arial"/>
          <w:sz w:val="28"/>
          <w:szCs w:val="28"/>
        </w:rPr>
        <w:lastRenderedPageBreak/>
        <w:t>Annex B</w:t>
      </w:r>
    </w:p>
    <w:p w14:paraId="187D156F" w14:textId="77777777" w:rsidR="008F3C8D" w:rsidRPr="008F3C8D" w:rsidRDefault="008F3C8D" w:rsidP="008F3C8D">
      <w:pPr>
        <w:rPr>
          <w:rFonts w:ascii="Arial" w:hAnsi="Arial" w:cs="Arial"/>
          <w:sz w:val="28"/>
          <w:szCs w:val="28"/>
        </w:rPr>
      </w:pPr>
    </w:p>
    <w:p w14:paraId="5828EF14" w14:textId="77777777" w:rsidR="008F3C8D" w:rsidRDefault="008F3C8D" w:rsidP="008F3C8D">
      <w:pPr>
        <w:pStyle w:val="Header"/>
        <w:tabs>
          <w:tab w:val="clear" w:pos="4153"/>
          <w:tab w:val="clear" w:pos="8306"/>
        </w:tabs>
        <w:outlineLvl w:val="0"/>
        <w:rPr>
          <w:rFonts w:ascii="Arial" w:hAnsi="Arial" w:cs="Arial"/>
          <w:b/>
          <w:sz w:val="28"/>
          <w:szCs w:val="28"/>
        </w:rPr>
      </w:pPr>
      <w:r w:rsidRPr="008F3C8D">
        <w:rPr>
          <w:rFonts w:ascii="Arial" w:hAnsi="Arial" w:cs="Arial"/>
          <w:b/>
          <w:sz w:val="28"/>
          <w:szCs w:val="28"/>
        </w:rPr>
        <w:t>LGA People and Places Board Forward Plan 2017/2018</w:t>
      </w:r>
      <w:r>
        <w:rPr>
          <w:rFonts w:ascii="Arial" w:hAnsi="Arial" w:cs="Arial"/>
          <w:b/>
          <w:sz w:val="36"/>
          <w:szCs w:val="36"/>
        </w:rPr>
        <w:tab/>
        <w:t xml:space="preserve">                       </w:t>
      </w:r>
    </w:p>
    <w:p w14:paraId="3568BFBD" w14:textId="77777777" w:rsidR="008F3C8D" w:rsidRDefault="008F3C8D" w:rsidP="008F3C8D">
      <w:pPr>
        <w:rPr>
          <w:rFonts w:ascii="Arial" w:hAnsi="Arial" w:cs="Arial"/>
          <w:b/>
          <w:sz w:val="28"/>
          <w:szCs w:val="28"/>
        </w:rPr>
      </w:pPr>
    </w:p>
    <w:p w14:paraId="0E90779A" w14:textId="77777777" w:rsidR="008F3C8D" w:rsidRDefault="008F3C8D" w:rsidP="008F3C8D">
      <w:pPr>
        <w:rPr>
          <w:rFonts w:ascii="Arial" w:hAnsi="Arial" w:cs="Arial"/>
          <w:b/>
          <w:bCs/>
          <w:szCs w:val="22"/>
        </w:rPr>
      </w:pPr>
    </w:p>
    <w:tbl>
      <w:tblPr>
        <w:tblW w:w="8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4"/>
      </w:tblGrid>
      <w:tr w:rsidR="008F3C8D" w:rsidRPr="00A51604" w14:paraId="2608C541" w14:textId="77777777" w:rsidTr="008F3C8D">
        <w:trPr>
          <w:trHeight w:val="250"/>
        </w:trPr>
        <w:tc>
          <w:tcPr>
            <w:tcW w:w="8654" w:type="dxa"/>
            <w:tcBorders>
              <w:top w:val="single" w:sz="4" w:space="0" w:color="auto"/>
              <w:left w:val="single" w:sz="4" w:space="0" w:color="auto"/>
              <w:bottom w:val="single" w:sz="4" w:space="0" w:color="auto"/>
              <w:right w:val="single" w:sz="4" w:space="0" w:color="auto"/>
            </w:tcBorders>
            <w:shd w:val="clear" w:color="auto" w:fill="990099"/>
            <w:hideMark/>
          </w:tcPr>
          <w:p w14:paraId="5748FC6D" w14:textId="77777777" w:rsidR="008F3C8D" w:rsidRPr="00A51604" w:rsidRDefault="008F3C8D" w:rsidP="00955C0A">
            <w:pPr>
              <w:rPr>
                <w:rFonts w:ascii="Arial" w:hAnsi="Arial" w:cs="Arial"/>
                <w:b/>
                <w:szCs w:val="22"/>
              </w:rPr>
            </w:pPr>
            <w:r>
              <w:rPr>
                <w:rFonts w:ascii="Arial" w:hAnsi="Arial" w:cs="Arial"/>
                <w:b/>
                <w:color w:val="FFFFFF"/>
                <w:szCs w:val="22"/>
              </w:rPr>
              <w:t>Thursday 21 September</w:t>
            </w:r>
          </w:p>
        </w:tc>
      </w:tr>
      <w:tr w:rsidR="008F3C8D" w:rsidRPr="00A51604" w14:paraId="1BA9977E" w14:textId="77777777" w:rsidTr="008F3C8D">
        <w:trPr>
          <w:trHeight w:val="260"/>
        </w:trPr>
        <w:tc>
          <w:tcPr>
            <w:tcW w:w="8654" w:type="dxa"/>
            <w:tcBorders>
              <w:top w:val="single" w:sz="4" w:space="0" w:color="auto"/>
              <w:left w:val="single" w:sz="4" w:space="0" w:color="auto"/>
              <w:bottom w:val="single" w:sz="4" w:space="0" w:color="auto"/>
              <w:right w:val="single" w:sz="4" w:space="0" w:color="auto"/>
            </w:tcBorders>
            <w:hideMark/>
          </w:tcPr>
          <w:p w14:paraId="3984186B" w14:textId="77777777" w:rsidR="008F3C8D" w:rsidRPr="00A51604" w:rsidRDefault="008F3C8D" w:rsidP="00955C0A">
            <w:pPr>
              <w:rPr>
                <w:rFonts w:ascii="Arial" w:hAnsi="Arial" w:cs="Arial"/>
                <w:b/>
                <w:szCs w:val="22"/>
              </w:rPr>
            </w:pPr>
            <w:r w:rsidRPr="00A51604">
              <w:rPr>
                <w:rFonts w:ascii="Arial" w:hAnsi="Arial" w:cs="Arial"/>
                <w:b/>
                <w:szCs w:val="22"/>
              </w:rPr>
              <w:t>Item</w:t>
            </w:r>
          </w:p>
        </w:tc>
      </w:tr>
      <w:tr w:rsidR="008F3C8D" w:rsidRPr="00E818E6" w14:paraId="3B2D9A79" w14:textId="77777777" w:rsidTr="008F3C8D">
        <w:trPr>
          <w:trHeight w:val="250"/>
        </w:trPr>
        <w:tc>
          <w:tcPr>
            <w:tcW w:w="8654" w:type="dxa"/>
          </w:tcPr>
          <w:p w14:paraId="54256F59" w14:textId="77777777" w:rsidR="008F3C8D" w:rsidRPr="00E818E6" w:rsidRDefault="008F3C8D" w:rsidP="00955C0A">
            <w:pPr>
              <w:rPr>
                <w:rFonts w:ascii="Arial" w:hAnsi="Arial" w:cs="Arial"/>
                <w:bCs/>
                <w:szCs w:val="22"/>
              </w:rPr>
            </w:pPr>
            <w:r>
              <w:rPr>
                <w:rFonts w:ascii="Arial" w:hAnsi="Arial" w:cs="Arial"/>
                <w:bCs/>
                <w:szCs w:val="22"/>
              </w:rPr>
              <w:t>Membership and Terms of Reference</w:t>
            </w:r>
          </w:p>
        </w:tc>
      </w:tr>
      <w:tr w:rsidR="008F3C8D" w:rsidRPr="00E818E6" w14:paraId="17C6AA6B" w14:textId="77777777" w:rsidTr="008F3C8D">
        <w:trPr>
          <w:trHeight w:val="250"/>
        </w:trPr>
        <w:tc>
          <w:tcPr>
            <w:tcW w:w="8654" w:type="dxa"/>
          </w:tcPr>
          <w:p w14:paraId="5F8BF86F" w14:textId="77777777" w:rsidR="008F3C8D" w:rsidRPr="00E818E6" w:rsidRDefault="008F3C8D" w:rsidP="00955C0A">
            <w:pPr>
              <w:rPr>
                <w:rFonts w:ascii="Arial" w:hAnsi="Arial" w:cs="Arial"/>
                <w:szCs w:val="22"/>
              </w:rPr>
            </w:pPr>
            <w:r>
              <w:rPr>
                <w:rFonts w:ascii="Arial" w:hAnsi="Arial" w:cs="Arial"/>
                <w:bCs/>
                <w:szCs w:val="22"/>
              </w:rPr>
              <w:t>Work Programme Paper</w:t>
            </w:r>
          </w:p>
        </w:tc>
      </w:tr>
      <w:tr w:rsidR="008F3C8D" w:rsidRPr="00E818E6" w14:paraId="6928BD60" w14:textId="77777777" w:rsidTr="008F3C8D">
        <w:trPr>
          <w:trHeight w:val="250"/>
        </w:trPr>
        <w:tc>
          <w:tcPr>
            <w:tcW w:w="8654" w:type="dxa"/>
          </w:tcPr>
          <w:p w14:paraId="3B849A85" w14:textId="77777777" w:rsidR="008F3C8D" w:rsidRPr="00E818E6" w:rsidRDefault="008F3C8D" w:rsidP="00955C0A">
            <w:pPr>
              <w:rPr>
                <w:rFonts w:ascii="Arial" w:hAnsi="Arial" w:cs="Arial"/>
                <w:bCs/>
                <w:szCs w:val="22"/>
              </w:rPr>
            </w:pPr>
            <w:r>
              <w:rPr>
                <w:rFonts w:ascii="Arial" w:hAnsi="Arial" w:cs="Arial"/>
                <w:szCs w:val="22"/>
              </w:rPr>
              <w:t>Work Local Campaign</w:t>
            </w:r>
          </w:p>
        </w:tc>
      </w:tr>
      <w:tr w:rsidR="008F3C8D" w:rsidRPr="00E818E6" w14:paraId="29EA0795" w14:textId="77777777" w:rsidTr="008F3C8D">
        <w:trPr>
          <w:trHeight w:val="260"/>
        </w:trPr>
        <w:tc>
          <w:tcPr>
            <w:tcW w:w="8654" w:type="dxa"/>
          </w:tcPr>
          <w:p w14:paraId="5AF5FCA4" w14:textId="77777777" w:rsidR="008F3C8D" w:rsidRDefault="008F3C8D" w:rsidP="00955C0A">
            <w:pPr>
              <w:rPr>
                <w:rFonts w:ascii="Arial" w:hAnsi="Arial" w:cs="Arial"/>
                <w:szCs w:val="22"/>
              </w:rPr>
            </w:pPr>
            <w:r>
              <w:rPr>
                <w:rFonts w:ascii="Arial" w:hAnsi="Arial" w:cs="Arial"/>
                <w:szCs w:val="22"/>
              </w:rPr>
              <w:t>Trade and Inward Investment</w:t>
            </w:r>
          </w:p>
        </w:tc>
      </w:tr>
    </w:tbl>
    <w:p w14:paraId="1231971A" w14:textId="77777777" w:rsidR="008F3C8D" w:rsidRPr="00244793" w:rsidRDefault="008F3C8D" w:rsidP="008F3C8D">
      <w:pPr>
        <w:rPr>
          <w:rFonts w:ascii="Arial" w:hAnsi="Arial" w:cs="Arial"/>
          <w:b/>
          <w:bCs/>
          <w:sz w:val="28"/>
          <w:szCs w:val="28"/>
        </w:rPr>
      </w:pPr>
    </w:p>
    <w:p w14:paraId="137E8E39" w14:textId="77777777" w:rsidR="008F3C8D" w:rsidRDefault="008F3C8D" w:rsidP="008F3C8D">
      <w:pPr>
        <w:widowControl w:val="0"/>
        <w:autoSpaceDE w:val="0"/>
        <w:autoSpaceDN w:val="0"/>
        <w:adjustRightInd w:val="0"/>
        <w:rPr>
          <w:rFonts w:ascii="Arial" w:hAnsi="Arial" w:cs="Arial"/>
          <w:b/>
          <w:bCs/>
          <w:szCs w:val="22"/>
        </w:rPr>
      </w:pPr>
    </w:p>
    <w:tbl>
      <w:tblPr>
        <w:tblW w:w="8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4"/>
      </w:tblGrid>
      <w:tr w:rsidR="008F3C8D" w:rsidRPr="00A51604" w14:paraId="4B51FCCB" w14:textId="77777777" w:rsidTr="008F3C8D">
        <w:trPr>
          <w:trHeight w:val="272"/>
        </w:trPr>
        <w:tc>
          <w:tcPr>
            <w:tcW w:w="8654" w:type="dxa"/>
            <w:tcBorders>
              <w:top w:val="single" w:sz="4" w:space="0" w:color="auto"/>
              <w:left w:val="single" w:sz="4" w:space="0" w:color="auto"/>
              <w:bottom w:val="single" w:sz="4" w:space="0" w:color="auto"/>
              <w:right w:val="single" w:sz="4" w:space="0" w:color="auto"/>
            </w:tcBorders>
            <w:shd w:val="clear" w:color="auto" w:fill="990099"/>
            <w:hideMark/>
          </w:tcPr>
          <w:p w14:paraId="7922E902" w14:textId="77777777" w:rsidR="008F3C8D" w:rsidRPr="00A51604" w:rsidRDefault="008F3C8D" w:rsidP="00955C0A">
            <w:pPr>
              <w:rPr>
                <w:rFonts w:ascii="Arial" w:hAnsi="Arial" w:cs="Arial"/>
                <w:b/>
                <w:szCs w:val="22"/>
              </w:rPr>
            </w:pPr>
            <w:r w:rsidRPr="00B43BF8">
              <w:rPr>
                <w:rFonts w:ascii="Arial" w:hAnsi="Arial" w:cs="Arial"/>
                <w:b/>
                <w:color w:val="FFFFFF" w:themeColor="background1"/>
                <w:szCs w:val="22"/>
              </w:rPr>
              <w:t>Tuesday 28 November</w:t>
            </w:r>
          </w:p>
        </w:tc>
      </w:tr>
      <w:tr w:rsidR="008F3C8D" w:rsidRPr="00A51604" w14:paraId="153C30E4" w14:textId="77777777" w:rsidTr="008F3C8D">
        <w:trPr>
          <w:trHeight w:val="283"/>
        </w:trPr>
        <w:tc>
          <w:tcPr>
            <w:tcW w:w="8654" w:type="dxa"/>
            <w:tcBorders>
              <w:top w:val="single" w:sz="4" w:space="0" w:color="auto"/>
              <w:left w:val="single" w:sz="4" w:space="0" w:color="auto"/>
              <w:bottom w:val="single" w:sz="4" w:space="0" w:color="auto"/>
              <w:right w:val="single" w:sz="4" w:space="0" w:color="auto"/>
            </w:tcBorders>
            <w:hideMark/>
          </w:tcPr>
          <w:p w14:paraId="235BD662" w14:textId="77777777" w:rsidR="008F3C8D" w:rsidRPr="00A51604" w:rsidRDefault="008F3C8D" w:rsidP="00955C0A">
            <w:pPr>
              <w:rPr>
                <w:rFonts w:ascii="Arial" w:hAnsi="Arial" w:cs="Arial"/>
                <w:b/>
                <w:szCs w:val="22"/>
              </w:rPr>
            </w:pPr>
            <w:r w:rsidRPr="00A51604">
              <w:rPr>
                <w:rFonts w:ascii="Arial" w:hAnsi="Arial" w:cs="Arial"/>
                <w:b/>
                <w:szCs w:val="22"/>
              </w:rPr>
              <w:t>Item</w:t>
            </w:r>
          </w:p>
        </w:tc>
      </w:tr>
      <w:tr w:rsidR="008F3C8D" w:rsidRPr="00A51604" w14:paraId="5C6B9081" w14:textId="77777777" w:rsidTr="008F3C8D">
        <w:trPr>
          <w:trHeight w:val="272"/>
        </w:trPr>
        <w:tc>
          <w:tcPr>
            <w:tcW w:w="8654" w:type="dxa"/>
            <w:tcBorders>
              <w:top w:val="single" w:sz="4" w:space="0" w:color="auto"/>
              <w:left w:val="single" w:sz="4" w:space="0" w:color="auto"/>
              <w:bottom w:val="single" w:sz="4" w:space="0" w:color="auto"/>
              <w:right w:val="single" w:sz="4" w:space="0" w:color="auto"/>
            </w:tcBorders>
          </w:tcPr>
          <w:p w14:paraId="412C52A6" w14:textId="77777777" w:rsidR="008F3C8D" w:rsidRPr="00B43BF8" w:rsidRDefault="008F3C8D" w:rsidP="00955C0A">
            <w:pPr>
              <w:rPr>
                <w:rFonts w:ascii="Arial" w:hAnsi="Arial" w:cs="Arial"/>
                <w:szCs w:val="22"/>
              </w:rPr>
            </w:pPr>
            <w:r w:rsidRPr="00B43BF8">
              <w:rPr>
                <w:rFonts w:ascii="Arial" w:hAnsi="Arial" w:cs="Arial"/>
                <w:szCs w:val="22"/>
              </w:rPr>
              <w:t>The Industrial Strategy – a BEIS representative to be invited</w:t>
            </w:r>
            <w:r>
              <w:rPr>
                <w:rFonts w:ascii="Arial" w:hAnsi="Arial" w:cs="Arial"/>
                <w:szCs w:val="22"/>
              </w:rPr>
              <w:t>.</w:t>
            </w:r>
            <w:r w:rsidRPr="00B43BF8">
              <w:rPr>
                <w:rFonts w:ascii="Arial" w:hAnsi="Arial" w:cs="Arial"/>
                <w:szCs w:val="22"/>
              </w:rPr>
              <w:t xml:space="preserve"> </w:t>
            </w:r>
          </w:p>
        </w:tc>
      </w:tr>
    </w:tbl>
    <w:p w14:paraId="25939BC7" w14:textId="77777777" w:rsidR="008F3C8D" w:rsidRPr="00EB2BF8" w:rsidRDefault="008F3C8D" w:rsidP="008F3C8D">
      <w:pPr>
        <w:rPr>
          <w:rFonts w:ascii="Arial" w:hAnsi="Arial" w:cs="Arial"/>
          <w:b/>
          <w:bCs/>
          <w:szCs w:val="22"/>
        </w:rPr>
      </w:pPr>
    </w:p>
    <w:tbl>
      <w:tblPr>
        <w:tblpPr w:leftFromText="180" w:rightFromText="180" w:vertAnchor="text" w:horzAnchor="margin" w:tblpX="40" w:tblpY="222"/>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04"/>
      </w:tblGrid>
      <w:tr w:rsidR="008F3C8D" w:rsidRPr="00E818E6" w14:paraId="6A3269C7" w14:textId="77777777" w:rsidTr="008F3C8D">
        <w:trPr>
          <w:trHeight w:val="246"/>
        </w:trPr>
        <w:tc>
          <w:tcPr>
            <w:tcW w:w="8604" w:type="dxa"/>
            <w:tcBorders>
              <w:top w:val="single" w:sz="4" w:space="0" w:color="auto"/>
              <w:left w:val="single" w:sz="4" w:space="0" w:color="auto"/>
              <w:bottom w:val="single" w:sz="4" w:space="0" w:color="auto"/>
              <w:right w:val="single" w:sz="4" w:space="0" w:color="auto"/>
            </w:tcBorders>
            <w:shd w:val="clear" w:color="auto" w:fill="990099"/>
            <w:hideMark/>
          </w:tcPr>
          <w:p w14:paraId="2ACBDEE3" w14:textId="77777777" w:rsidR="008F3C8D" w:rsidRPr="00E818E6" w:rsidRDefault="008F3C8D" w:rsidP="00955C0A">
            <w:pPr>
              <w:tabs>
                <w:tab w:val="left" w:pos="3885"/>
              </w:tabs>
              <w:rPr>
                <w:rFonts w:ascii="Arial" w:hAnsi="Arial" w:cs="Arial"/>
                <w:b/>
                <w:szCs w:val="22"/>
              </w:rPr>
            </w:pPr>
            <w:r>
              <w:rPr>
                <w:rFonts w:ascii="Arial" w:hAnsi="Arial" w:cs="Arial"/>
                <w:b/>
                <w:color w:val="FFFFFF"/>
                <w:szCs w:val="22"/>
              </w:rPr>
              <w:t>Tuesday 30 January</w:t>
            </w:r>
            <w:r w:rsidRPr="00E818E6">
              <w:rPr>
                <w:rFonts w:ascii="Arial" w:hAnsi="Arial" w:cs="Arial"/>
                <w:b/>
                <w:color w:val="FFFFFF"/>
                <w:szCs w:val="22"/>
              </w:rPr>
              <w:tab/>
            </w:r>
          </w:p>
        </w:tc>
      </w:tr>
      <w:tr w:rsidR="008F3C8D" w:rsidRPr="00E818E6" w14:paraId="41FF96D2" w14:textId="77777777" w:rsidTr="008F3C8D">
        <w:trPr>
          <w:trHeight w:val="256"/>
        </w:trPr>
        <w:tc>
          <w:tcPr>
            <w:tcW w:w="8604" w:type="dxa"/>
            <w:tcBorders>
              <w:top w:val="single" w:sz="4" w:space="0" w:color="auto"/>
              <w:left w:val="single" w:sz="4" w:space="0" w:color="auto"/>
              <w:bottom w:val="single" w:sz="4" w:space="0" w:color="auto"/>
              <w:right w:val="single" w:sz="4" w:space="0" w:color="auto"/>
            </w:tcBorders>
            <w:hideMark/>
          </w:tcPr>
          <w:p w14:paraId="2B10E3CA" w14:textId="77777777" w:rsidR="008F3C8D" w:rsidRPr="00E818E6" w:rsidRDefault="008F3C8D" w:rsidP="00955C0A">
            <w:pPr>
              <w:rPr>
                <w:rFonts w:ascii="Arial" w:hAnsi="Arial" w:cs="Arial"/>
                <w:b/>
                <w:szCs w:val="22"/>
              </w:rPr>
            </w:pPr>
            <w:r w:rsidRPr="00E818E6">
              <w:rPr>
                <w:rFonts w:ascii="Arial" w:hAnsi="Arial" w:cs="Arial"/>
                <w:b/>
                <w:szCs w:val="22"/>
              </w:rPr>
              <w:t>Item</w:t>
            </w:r>
          </w:p>
        </w:tc>
      </w:tr>
      <w:tr w:rsidR="008F3C8D" w:rsidRPr="00DC7908" w14:paraId="7D23E3C0" w14:textId="77777777" w:rsidTr="008F3C8D">
        <w:trPr>
          <w:trHeight w:val="246"/>
        </w:trPr>
        <w:tc>
          <w:tcPr>
            <w:tcW w:w="8604" w:type="dxa"/>
            <w:tcBorders>
              <w:top w:val="single" w:sz="4" w:space="0" w:color="auto"/>
              <w:left w:val="single" w:sz="4" w:space="0" w:color="auto"/>
              <w:bottom w:val="single" w:sz="4" w:space="0" w:color="auto"/>
              <w:right w:val="single" w:sz="4" w:space="0" w:color="auto"/>
            </w:tcBorders>
          </w:tcPr>
          <w:p w14:paraId="0549D959" w14:textId="77777777" w:rsidR="008F3C8D" w:rsidRPr="00B43BF8" w:rsidRDefault="008F3C8D" w:rsidP="00955C0A">
            <w:pPr>
              <w:rPr>
                <w:rFonts w:ascii="Arial" w:hAnsi="Arial" w:cs="Arial"/>
                <w:bCs/>
                <w:szCs w:val="22"/>
              </w:rPr>
            </w:pPr>
            <w:r>
              <w:rPr>
                <w:rFonts w:ascii="Arial" w:hAnsi="Arial" w:cs="Arial"/>
                <w:szCs w:val="22"/>
              </w:rPr>
              <w:t>Digital Connectivity – an Ofcom representative to be invited.</w:t>
            </w:r>
          </w:p>
        </w:tc>
      </w:tr>
    </w:tbl>
    <w:p w14:paraId="64E53455" w14:textId="77777777" w:rsidR="008F3C8D" w:rsidRPr="00EB2BF8" w:rsidRDefault="008F3C8D" w:rsidP="008F3C8D">
      <w:pPr>
        <w:rPr>
          <w:rFonts w:ascii="Arial" w:hAnsi="Arial" w:cs="Arial"/>
          <w:b/>
          <w:bCs/>
          <w:szCs w:val="22"/>
        </w:rPr>
      </w:pPr>
    </w:p>
    <w:p w14:paraId="48159D2F" w14:textId="77777777" w:rsidR="008F3C8D" w:rsidRPr="00E818E6" w:rsidRDefault="008F3C8D" w:rsidP="008F3C8D">
      <w:pPr>
        <w:widowControl w:val="0"/>
        <w:autoSpaceDE w:val="0"/>
        <w:autoSpaceDN w:val="0"/>
        <w:adjustRightInd w:val="0"/>
        <w:ind w:left="-567"/>
        <w:rPr>
          <w:rFonts w:ascii="Arial" w:hAnsi="Arial" w:cs="Arial"/>
          <w:b/>
          <w:bCs/>
          <w:szCs w:val="22"/>
        </w:rPr>
      </w:pPr>
    </w:p>
    <w:tbl>
      <w:tblPr>
        <w:tblW w:w="8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4"/>
      </w:tblGrid>
      <w:tr w:rsidR="008F3C8D" w:rsidRPr="00E818E6" w14:paraId="181A050D" w14:textId="77777777" w:rsidTr="008F3C8D">
        <w:trPr>
          <w:trHeight w:val="246"/>
        </w:trPr>
        <w:tc>
          <w:tcPr>
            <w:tcW w:w="8654" w:type="dxa"/>
            <w:tcBorders>
              <w:top w:val="single" w:sz="4" w:space="0" w:color="auto"/>
              <w:left w:val="single" w:sz="4" w:space="0" w:color="auto"/>
              <w:bottom w:val="single" w:sz="4" w:space="0" w:color="auto"/>
              <w:right w:val="single" w:sz="4" w:space="0" w:color="auto"/>
            </w:tcBorders>
            <w:shd w:val="clear" w:color="auto" w:fill="990099"/>
            <w:hideMark/>
          </w:tcPr>
          <w:p w14:paraId="003BFB08" w14:textId="77777777" w:rsidR="008F3C8D" w:rsidRPr="00E818E6" w:rsidRDefault="008F3C8D" w:rsidP="00955C0A">
            <w:pPr>
              <w:rPr>
                <w:rFonts w:ascii="Arial" w:hAnsi="Arial" w:cs="Arial"/>
                <w:b/>
                <w:szCs w:val="22"/>
              </w:rPr>
            </w:pPr>
            <w:r>
              <w:rPr>
                <w:rFonts w:ascii="Arial" w:hAnsi="Arial" w:cs="Arial"/>
                <w:b/>
                <w:color w:val="FFFFFF"/>
                <w:szCs w:val="22"/>
              </w:rPr>
              <w:t>Thursday 22 March</w:t>
            </w:r>
          </w:p>
        </w:tc>
      </w:tr>
      <w:tr w:rsidR="008F3C8D" w:rsidRPr="00E818E6" w14:paraId="7A409305" w14:textId="77777777" w:rsidTr="008F3C8D">
        <w:trPr>
          <w:trHeight w:val="256"/>
        </w:trPr>
        <w:tc>
          <w:tcPr>
            <w:tcW w:w="8654" w:type="dxa"/>
            <w:tcBorders>
              <w:top w:val="single" w:sz="4" w:space="0" w:color="auto"/>
              <w:left w:val="single" w:sz="4" w:space="0" w:color="auto"/>
              <w:bottom w:val="single" w:sz="4" w:space="0" w:color="auto"/>
              <w:right w:val="single" w:sz="4" w:space="0" w:color="auto"/>
            </w:tcBorders>
            <w:hideMark/>
          </w:tcPr>
          <w:p w14:paraId="39407E78" w14:textId="77777777" w:rsidR="008F3C8D" w:rsidRPr="00E818E6" w:rsidRDefault="008F3C8D" w:rsidP="00955C0A">
            <w:pPr>
              <w:rPr>
                <w:rFonts w:ascii="Arial" w:hAnsi="Arial" w:cs="Arial"/>
                <w:b/>
                <w:szCs w:val="22"/>
              </w:rPr>
            </w:pPr>
            <w:r w:rsidRPr="00E818E6">
              <w:rPr>
                <w:rFonts w:ascii="Arial" w:hAnsi="Arial" w:cs="Arial"/>
                <w:b/>
                <w:szCs w:val="22"/>
              </w:rPr>
              <w:t>Item</w:t>
            </w:r>
          </w:p>
        </w:tc>
      </w:tr>
      <w:tr w:rsidR="008F3C8D" w:rsidRPr="00E818E6" w14:paraId="4DC153D7" w14:textId="77777777" w:rsidTr="008F3C8D">
        <w:trPr>
          <w:trHeight w:val="246"/>
        </w:trPr>
        <w:tc>
          <w:tcPr>
            <w:tcW w:w="8654" w:type="dxa"/>
            <w:tcBorders>
              <w:top w:val="single" w:sz="4" w:space="0" w:color="auto"/>
              <w:left w:val="single" w:sz="4" w:space="0" w:color="auto"/>
              <w:bottom w:val="single" w:sz="4" w:space="0" w:color="auto"/>
              <w:right w:val="single" w:sz="4" w:space="0" w:color="auto"/>
            </w:tcBorders>
          </w:tcPr>
          <w:p w14:paraId="1A551989" w14:textId="77777777" w:rsidR="008F3C8D" w:rsidRPr="00E818E6" w:rsidRDefault="008F3C8D" w:rsidP="00955C0A">
            <w:pPr>
              <w:rPr>
                <w:rFonts w:ascii="Arial" w:hAnsi="Arial" w:cs="Arial"/>
                <w:bCs/>
                <w:szCs w:val="22"/>
              </w:rPr>
            </w:pPr>
            <w:r>
              <w:rPr>
                <w:rFonts w:ascii="Arial" w:hAnsi="Arial" w:cs="Arial"/>
                <w:bCs/>
                <w:szCs w:val="22"/>
              </w:rPr>
              <w:t>Higher education, skills and employment – a representative from the Office for Students to be invited.</w:t>
            </w:r>
            <w:r w:rsidRPr="00E818E6">
              <w:rPr>
                <w:rFonts w:ascii="Arial" w:hAnsi="Arial" w:cs="Arial"/>
                <w:bCs/>
                <w:szCs w:val="22"/>
              </w:rPr>
              <w:t xml:space="preserve">  </w:t>
            </w:r>
          </w:p>
        </w:tc>
      </w:tr>
    </w:tbl>
    <w:p w14:paraId="0CBA4C5B" w14:textId="77777777" w:rsidR="008F3C8D" w:rsidRDefault="008F3C8D" w:rsidP="008F3C8D">
      <w:pPr>
        <w:rPr>
          <w:rFonts w:ascii="Arial" w:hAnsi="Arial" w:cs="Arial"/>
          <w:b/>
          <w:bCs/>
          <w:szCs w:val="22"/>
        </w:rPr>
      </w:pPr>
    </w:p>
    <w:p w14:paraId="620FEC17" w14:textId="77777777" w:rsidR="008F3C8D" w:rsidRDefault="008F3C8D" w:rsidP="008F3C8D">
      <w:pPr>
        <w:rPr>
          <w:rFonts w:ascii="Arial" w:hAnsi="Arial" w:cs="Arial"/>
          <w:b/>
          <w:bCs/>
          <w:sz w:val="28"/>
          <w:szCs w:val="28"/>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4"/>
      </w:tblGrid>
      <w:tr w:rsidR="008F3C8D" w:rsidRPr="00E818E6" w14:paraId="2FF88CD8" w14:textId="77777777" w:rsidTr="008F3C8D">
        <w:trPr>
          <w:trHeight w:val="287"/>
        </w:trPr>
        <w:tc>
          <w:tcPr>
            <w:tcW w:w="8644" w:type="dxa"/>
            <w:tcBorders>
              <w:top w:val="single" w:sz="4" w:space="0" w:color="auto"/>
              <w:left w:val="single" w:sz="4" w:space="0" w:color="auto"/>
              <w:bottom w:val="single" w:sz="4" w:space="0" w:color="auto"/>
              <w:right w:val="single" w:sz="4" w:space="0" w:color="auto"/>
            </w:tcBorders>
            <w:shd w:val="clear" w:color="auto" w:fill="990099"/>
            <w:hideMark/>
          </w:tcPr>
          <w:p w14:paraId="17E10E91" w14:textId="77777777" w:rsidR="008F3C8D" w:rsidRPr="00E818E6" w:rsidRDefault="008F3C8D" w:rsidP="00955C0A">
            <w:pPr>
              <w:rPr>
                <w:rFonts w:ascii="Arial" w:hAnsi="Arial" w:cs="Arial"/>
                <w:b/>
                <w:szCs w:val="22"/>
              </w:rPr>
            </w:pPr>
            <w:r>
              <w:rPr>
                <w:rFonts w:ascii="Arial" w:hAnsi="Arial" w:cs="Arial"/>
                <w:b/>
                <w:color w:val="FFFFFF"/>
                <w:szCs w:val="22"/>
              </w:rPr>
              <w:t>Tuesday 12 June</w:t>
            </w:r>
          </w:p>
        </w:tc>
      </w:tr>
      <w:tr w:rsidR="008F3C8D" w:rsidRPr="00E818E6" w14:paraId="4D8615D0" w14:textId="77777777" w:rsidTr="008F3C8D">
        <w:trPr>
          <w:trHeight w:val="299"/>
        </w:trPr>
        <w:tc>
          <w:tcPr>
            <w:tcW w:w="8644" w:type="dxa"/>
            <w:tcBorders>
              <w:top w:val="single" w:sz="4" w:space="0" w:color="auto"/>
              <w:left w:val="single" w:sz="4" w:space="0" w:color="auto"/>
              <w:bottom w:val="single" w:sz="4" w:space="0" w:color="auto"/>
              <w:right w:val="single" w:sz="4" w:space="0" w:color="auto"/>
            </w:tcBorders>
            <w:hideMark/>
          </w:tcPr>
          <w:p w14:paraId="6D400ED6" w14:textId="77777777" w:rsidR="008F3C8D" w:rsidRPr="00E818E6" w:rsidRDefault="008F3C8D" w:rsidP="00955C0A">
            <w:pPr>
              <w:rPr>
                <w:rFonts w:ascii="Arial" w:hAnsi="Arial" w:cs="Arial"/>
                <w:b/>
                <w:szCs w:val="22"/>
              </w:rPr>
            </w:pPr>
            <w:r w:rsidRPr="00E818E6">
              <w:rPr>
                <w:rFonts w:ascii="Arial" w:hAnsi="Arial" w:cs="Arial"/>
                <w:b/>
                <w:szCs w:val="22"/>
              </w:rPr>
              <w:t>Item</w:t>
            </w:r>
          </w:p>
        </w:tc>
      </w:tr>
      <w:tr w:rsidR="008F3C8D" w:rsidRPr="00E818E6" w14:paraId="08A85A37" w14:textId="77777777" w:rsidTr="008F3C8D">
        <w:trPr>
          <w:trHeight w:val="287"/>
        </w:trPr>
        <w:tc>
          <w:tcPr>
            <w:tcW w:w="8644" w:type="dxa"/>
            <w:tcBorders>
              <w:top w:val="single" w:sz="4" w:space="0" w:color="auto"/>
              <w:left w:val="single" w:sz="4" w:space="0" w:color="auto"/>
              <w:bottom w:val="single" w:sz="4" w:space="0" w:color="auto"/>
              <w:right w:val="single" w:sz="4" w:space="0" w:color="auto"/>
            </w:tcBorders>
          </w:tcPr>
          <w:p w14:paraId="2BFF9FF6" w14:textId="77777777" w:rsidR="008F3C8D" w:rsidRPr="00E818E6" w:rsidRDefault="008F3C8D" w:rsidP="00955C0A">
            <w:pPr>
              <w:rPr>
                <w:rFonts w:ascii="Arial" w:hAnsi="Arial" w:cs="Arial"/>
                <w:bCs/>
                <w:szCs w:val="22"/>
              </w:rPr>
            </w:pPr>
            <w:r>
              <w:rPr>
                <w:rFonts w:ascii="Arial" w:hAnsi="Arial" w:cs="Arial"/>
                <w:bCs/>
                <w:szCs w:val="22"/>
              </w:rPr>
              <w:t xml:space="preserve">Non-metropolitan devolution </w:t>
            </w:r>
            <w:r w:rsidRPr="00E818E6">
              <w:rPr>
                <w:rFonts w:ascii="Arial" w:hAnsi="Arial" w:cs="Arial"/>
                <w:bCs/>
                <w:szCs w:val="22"/>
              </w:rPr>
              <w:t xml:space="preserve">  </w:t>
            </w:r>
          </w:p>
        </w:tc>
      </w:tr>
    </w:tbl>
    <w:p w14:paraId="50F3DBDA" w14:textId="77777777" w:rsidR="008F3C8D" w:rsidRPr="008F3C8D" w:rsidRDefault="008F3C8D" w:rsidP="008F3C8D">
      <w:pPr>
        <w:rPr>
          <w:rFonts w:ascii="Arial" w:hAnsi="Arial" w:cs="Arial"/>
          <w:szCs w:val="22"/>
        </w:rPr>
      </w:pPr>
    </w:p>
    <w:sectPr w:rsidR="008F3C8D" w:rsidRPr="008F3C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BA6D7" w14:textId="77777777" w:rsidR="00A54B38" w:rsidRDefault="00A54B38">
      <w:r>
        <w:separator/>
      </w:r>
    </w:p>
  </w:endnote>
  <w:endnote w:type="continuationSeparator" w:id="0">
    <w:p w14:paraId="0C9BA6D8" w14:textId="77777777" w:rsidR="00A54B38" w:rsidRDefault="00A5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BA6E3" w14:textId="77777777" w:rsidR="008B3F8A" w:rsidRDefault="008B3F8A">
    <w:pPr>
      <w:pStyle w:val="Footer"/>
      <w:tabs>
        <w:tab w:val="clear" w:pos="4153"/>
        <w:tab w:val="clear" w:pos="8306"/>
        <w:tab w:val="right" w:pos="9923"/>
      </w:tabs>
      <w:ind w:right="-994"/>
      <w:rPr>
        <w:sz w:val="12"/>
      </w:rPr>
    </w:pPr>
    <w:r>
      <w:rPr>
        <w:rFonts w:ascii="Frutiger 55 Roman" w:hAnsi="Frutiger 55 Roman"/>
        <w:b/>
        <w:sz w:val="16"/>
      </w:rPr>
      <w:t xml:space="preserve"> </w:t>
    </w:r>
    <w:bookmarkStart w:id="1" w:name="ExecName2"/>
    <w:bookmarkEnd w:id="1"/>
    <w:r>
      <w:rPr>
        <w:rFonts w:ascii="Frutiger 55 Roman" w:hAnsi="Frutiger 55 Roman"/>
        <w:b/>
        <w:sz w:val="16"/>
      </w:rPr>
      <w:t xml:space="preserve">  </w:t>
    </w:r>
    <w:r>
      <w:rPr>
        <w:sz w:val="16"/>
      </w:rPr>
      <w:t xml:space="preserve"> </w:t>
    </w:r>
    <w:bookmarkStart w:id="2" w:name="Date2"/>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BA6D5" w14:textId="77777777" w:rsidR="00A54B38" w:rsidRDefault="00A54B38">
      <w:r>
        <w:separator/>
      </w:r>
    </w:p>
  </w:footnote>
  <w:footnote w:type="continuationSeparator" w:id="0">
    <w:p w14:paraId="0C9BA6D6" w14:textId="77777777" w:rsidR="00A54B38" w:rsidRDefault="00A54B38">
      <w:r>
        <w:continuationSeparator/>
      </w:r>
    </w:p>
  </w:footnote>
  <w:footnote w:id="1">
    <w:p w14:paraId="0C9BA6F5" w14:textId="77777777" w:rsidR="006375C3" w:rsidRPr="00E90EA8" w:rsidRDefault="006375C3" w:rsidP="006375C3">
      <w:pPr>
        <w:pStyle w:val="FootnoteText"/>
        <w:rPr>
          <w:rFonts w:ascii="Arial" w:hAnsi="Arial" w:cs="Arial"/>
        </w:rPr>
      </w:pPr>
      <w:r w:rsidRPr="00E90EA8">
        <w:rPr>
          <w:rStyle w:val="FootnoteReference"/>
          <w:rFonts w:ascii="Arial" w:hAnsi="Arial" w:cs="Arial"/>
        </w:rPr>
        <w:footnoteRef/>
      </w:r>
      <w:r w:rsidRPr="00E90EA8">
        <w:rPr>
          <w:rFonts w:ascii="Arial" w:hAnsi="Arial" w:cs="Arial"/>
        </w:rPr>
        <w:t xml:space="preserve"> For reference, the LGA’s public affairs briefing on the Second Reading of the EU (Withdrawal) Bill - </w:t>
      </w:r>
      <w:hyperlink r:id="rId1" w:history="1">
        <w:r w:rsidRPr="00E90EA8">
          <w:rPr>
            <w:rStyle w:val="Hyperlink"/>
            <w:rFonts w:ascii="Arial" w:hAnsi="Arial" w:cs="Arial"/>
          </w:rPr>
          <w:t>www.local.gov.uk/sites/default/files/documents/2017%2009%2007%20EU%20%28Withdrawal%29%20Bill%20-%20HC%20-%20Second%20Reading.pdf</w:t>
        </w:r>
      </w:hyperlink>
    </w:p>
    <w:p w14:paraId="0C9BA6F6" w14:textId="77777777" w:rsidR="006375C3" w:rsidRPr="00E90EA8" w:rsidRDefault="006375C3" w:rsidP="006375C3">
      <w:pPr>
        <w:pStyle w:val="FootnoteText"/>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51"/>
      <w:gridCol w:w="3220"/>
    </w:tblGrid>
    <w:tr w:rsidR="008B3F8A" w:rsidRPr="004F266E" w14:paraId="0C9BA6DB" w14:textId="77777777" w:rsidTr="006B2241">
      <w:tc>
        <w:tcPr>
          <w:tcW w:w="5920" w:type="dxa"/>
          <w:vMerge w:val="restart"/>
          <w:shd w:val="clear" w:color="auto" w:fill="auto"/>
        </w:tcPr>
        <w:p w14:paraId="0C9BA6D9" w14:textId="77777777" w:rsidR="008B3F8A" w:rsidRPr="00374227" w:rsidRDefault="008B3F8A" w:rsidP="006B2241">
          <w:pPr>
            <w:pStyle w:val="Header"/>
            <w:tabs>
              <w:tab w:val="clear" w:pos="4153"/>
              <w:tab w:val="clear" w:pos="8306"/>
              <w:tab w:val="center" w:pos="2923"/>
            </w:tabs>
          </w:pPr>
          <w:r>
            <w:rPr>
              <w:rFonts w:ascii="Arial" w:hAnsi="Arial" w:cs="Arial"/>
              <w:noProof/>
              <w:sz w:val="44"/>
              <w:szCs w:val="44"/>
            </w:rPr>
            <w:drawing>
              <wp:inline distT="0" distB="0" distL="0" distR="0" wp14:anchorId="0C9BA6F1" wp14:editId="0C9BA6F2">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0C9BA6DA" w14:textId="77777777" w:rsidR="008B3F8A" w:rsidRPr="00E7702B" w:rsidRDefault="008B3F8A" w:rsidP="006B2241">
          <w:pPr>
            <w:pStyle w:val="Header"/>
            <w:rPr>
              <w:rFonts w:ascii="Arial" w:hAnsi="Arial" w:cs="Arial"/>
              <w:b/>
              <w:i/>
              <w:szCs w:val="22"/>
            </w:rPr>
          </w:pPr>
          <w:r>
            <w:rPr>
              <w:rFonts w:ascii="Arial" w:hAnsi="Arial" w:cs="Arial"/>
              <w:b/>
              <w:szCs w:val="22"/>
            </w:rPr>
            <w:t>People and Places Board</w:t>
          </w:r>
        </w:p>
      </w:tc>
    </w:tr>
    <w:tr w:rsidR="008B3F8A" w14:paraId="0C9BA6DE" w14:textId="77777777" w:rsidTr="006B2241">
      <w:trPr>
        <w:trHeight w:val="450"/>
      </w:trPr>
      <w:tc>
        <w:tcPr>
          <w:tcW w:w="5920" w:type="dxa"/>
          <w:vMerge/>
          <w:shd w:val="clear" w:color="auto" w:fill="auto"/>
        </w:tcPr>
        <w:p w14:paraId="0C9BA6DC" w14:textId="77777777" w:rsidR="008B3F8A" w:rsidRPr="00374227" w:rsidRDefault="008B3F8A" w:rsidP="006B2241">
          <w:pPr>
            <w:pStyle w:val="Header"/>
          </w:pPr>
        </w:p>
      </w:tc>
      <w:tc>
        <w:tcPr>
          <w:tcW w:w="3260" w:type="dxa"/>
          <w:shd w:val="clear" w:color="auto" w:fill="auto"/>
          <w:vAlign w:val="center"/>
        </w:tcPr>
        <w:p w14:paraId="0C9BA6DD" w14:textId="08462212" w:rsidR="008B3F8A" w:rsidRPr="00374227" w:rsidRDefault="008F3C8D" w:rsidP="006B2241">
          <w:pPr>
            <w:pStyle w:val="Header"/>
            <w:spacing w:before="60"/>
            <w:rPr>
              <w:rFonts w:ascii="Arial" w:hAnsi="Arial" w:cs="Arial"/>
              <w:szCs w:val="22"/>
            </w:rPr>
          </w:pPr>
          <w:r>
            <w:rPr>
              <w:rFonts w:ascii="Arial" w:hAnsi="Arial" w:cs="Arial"/>
              <w:szCs w:val="22"/>
            </w:rPr>
            <w:t>21 September 2017</w:t>
          </w:r>
          <w:r w:rsidR="008B3F8A">
            <w:rPr>
              <w:rFonts w:ascii="Arial" w:hAnsi="Arial" w:cs="Arial"/>
              <w:szCs w:val="22"/>
            </w:rPr>
            <w:t xml:space="preserve"> </w:t>
          </w:r>
        </w:p>
      </w:tc>
    </w:tr>
    <w:tr w:rsidR="008B3F8A" w:rsidRPr="004F266E" w14:paraId="0C9BA6E1" w14:textId="77777777" w:rsidTr="006B2241">
      <w:trPr>
        <w:trHeight w:val="708"/>
      </w:trPr>
      <w:tc>
        <w:tcPr>
          <w:tcW w:w="5920" w:type="dxa"/>
          <w:vMerge/>
          <w:shd w:val="clear" w:color="auto" w:fill="auto"/>
        </w:tcPr>
        <w:p w14:paraId="0C9BA6DF" w14:textId="77777777" w:rsidR="008B3F8A" w:rsidRPr="00374227" w:rsidRDefault="008B3F8A" w:rsidP="006B2241">
          <w:pPr>
            <w:pStyle w:val="Header"/>
          </w:pPr>
        </w:p>
      </w:tc>
      <w:tc>
        <w:tcPr>
          <w:tcW w:w="3260" w:type="dxa"/>
          <w:shd w:val="clear" w:color="auto" w:fill="auto"/>
          <w:vAlign w:val="center"/>
        </w:tcPr>
        <w:p w14:paraId="0C9BA6E0" w14:textId="0075A0E2" w:rsidR="008B3F8A" w:rsidRPr="00374227" w:rsidRDefault="008B3F8A" w:rsidP="006B2241">
          <w:pPr>
            <w:pStyle w:val="Header"/>
            <w:spacing w:before="60"/>
            <w:rPr>
              <w:rFonts w:ascii="Arial" w:hAnsi="Arial" w:cs="Arial"/>
              <w:b/>
              <w:szCs w:val="22"/>
            </w:rPr>
          </w:pPr>
        </w:p>
      </w:tc>
    </w:tr>
  </w:tbl>
  <w:p w14:paraId="0C9BA6E2" w14:textId="77777777" w:rsidR="008B3F8A" w:rsidRPr="0021114E" w:rsidRDefault="008B3F8A">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BA6E4" w14:textId="77777777" w:rsidR="008B3F8A" w:rsidRDefault="008B3F8A" w:rsidP="006B2241">
    <w:pPr>
      <w:pStyle w:val="Header"/>
      <w:rPr>
        <w:sz w:val="2"/>
      </w:rPr>
    </w:pPr>
  </w:p>
  <w:p w14:paraId="0C9BA6E5" w14:textId="77777777" w:rsidR="008B3F8A" w:rsidRDefault="008B3F8A" w:rsidP="006B2241">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8B3F8A" w:rsidRPr="001D2C76" w14:paraId="0C9BA6E8" w14:textId="77777777" w:rsidTr="006B2241">
      <w:tc>
        <w:tcPr>
          <w:tcW w:w="6062" w:type="dxa"/>
          <w:vMerge w:val="restart"/>
        </w:tcPr>
        <w:p w14:paraId="0C9BA6E6" w14:textId="77777777" w:rsidR="008B3F8A" w:rsidRDefault="008B3F8A" w:rsidP="006B2241">
          <w:pPr>
            <w:pStyle w:val="Header"/>
            <w:tabs>
              <w:tab w:val="clear" w:pos="4153"/>
              <w:tab w:val="clear" w:pos="8306"/>
              <w:tab w:val="center" w:pos="2923"/>
            </w:tabs>
          </w:pPr>
          <w:r>
            <w:rPr>
              <w:rFonts w:ascii="Arial" w:hAnsi="Arial" w:cs="Arial"/>
              <w:noProof/>
              <w:sz w:val="44"/>
              <w:szCs w:val="44"/>
            </w:rPr>
            <w:drawing>
              <wp:inline distT="0" distB="0" distL="0" distR="0" wp14:anchorId="0C9BA6F3" wp14:editId="0C9BA6F4">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0C9BA6E7" w14:textId="77777777" w:rsidR="008B3F8A" w:rsidRPr="001D2C76" w:rsidRDefault="008B3F8A" w:rsidP="006B2241">
          <w:pPr>
            <w:pStyle w:val="Header"/>
            <w:rPr>
              <w:b/>
            </w:rPr>
          </w:pPr>
          <w:r>
            <w:rPr>
              <w:rFonts w:ascii="Arial" w:hAnsi="Arial" w:cs="Arial"/>
              <w:b/>
              <w:sz w:val="24"/>
              <w:szCs w:val="24"/>
            </w:rPr>
            <w:t>Meeting title</w:t>
          </w:r>
        </w:p>
      </w:tc>
    </w:tr>
    <w:tr w:rsidR="008B3F8A" w14:paraId="0C9BA6EB" w14:textId="77777777" w:rsidTr="006B2241">
      <w:trPr>
        <w:trHeight w:val="450"/>
      </w:trPr>
      <w:tc>
        <w:tcPr>
          <w:tcW w:w="6062" w:type="dxa"/>
          <w:vMerge/>
        </w:tcPr>
        <w:p w14:paraId="0C9BA6E9" w14:textId="77777777" w:rsidR="008B3F8A" w:rsidRDefault="008B3F8A" w:rsidP="006B2241">
          <w:pPr>
            <w:pStyle w:val="Header"/>
          </w:pPr>
        </w:p>
      </w:tc>
      <w:tc>
        <w:tcPr>
          <w:tcW w:w="3225" w:type="dxa"/>
        </w:tcPr>
        <w:p w14:paraId="0C9BA6EA" w14:textId="77777777" w:rsidR="008B3F8A" w:rsidRDefault="008B3F8A" w:rsidP="006B2241">
          <w:pPr>
            <w:pStyle w:val="Header"/>
            <w:spacing w:before="60"/>
          </w:pPr>
          <w:r>
            <w:rPr>
              <w:rFonts w:ascii="Arial" w:hAnsi="Arial" w:cs="Arial"/>
              <w:sz w:val="24"/>
              <w:szCs w:val="24"/>
            </w:rPr>
            <w:t xml:space="preserve">Meeting date </w:t>
          </w:r>
        </w:p>
      </w:tc>
    </w:tr>
    <w:tr w:rsidR="008B3F8A" w14:paraId="0C9BA6EF" w14:textId="77777777" w:rsidTr="006B2241">
      <w:trPr>
        <w:trHeight w:val="450"/>
      </w:trPr>
      <w:tc>
        <w:tcPr>
          <w:tcW w:w="6062" w:type="dxa"/>
          <w:vMerge/>
        </w:tcPr>
        <w:p w14:paraId="0C9BA6EC" w14:textId="77777777" w:rsidR="008B3F8A" w:rsidRDefault="008B3F8A" w:rsidP="006B2241">
          <w:pPr>
            <w:pStyle w:val="Header"/>
          </w:pPr>
        </w:p>
      </w:tc>
      <w:tc>
        <w:tcPr>
          <w:tcW w:w="3225" w:type="dxa"/>
        </w:tcPr>
        <w:p w14:paraId="0C9BA6ED" w14:textId="77777777" w:rsidR="008B3F8A" w:rsidRDefault="008B3F8A" w:rsidP="006B2241">
          <w:pPr>
            <w:pStyle w:val="Header"/>
            <w:spacing w:before="60"/>
            <w:rPr>
              <w:rFonts w:ascii="Arial" w:hAnsi="Arial" w:cs="Arial"/>
              <w:b/>
              <w:sz w:val="24"/>
              <w:szCs w:val="24"/>
            </w:rPr>
          </w:pPr>
        </w:p>
        <w:p w14:paraId="0C9BA6EE" w14:textId="77777777" w:rsidR="008B3F8A" w:rsidRPr="00546D0D" w:rsidRDefault="008B3F8A" w:rsidP="006B2241">
          <w:pPr>
            <w:pStyle w:val="Header"/>
            <w:spacing w:before="60"/>
            <w:rPr>
              <w:rFonts w:ascii="Arial" w:hAnsi="Arial" w:cs="Arial"/>
              <w:b/>
              <w:sz w:val="24"/>
              <w:szCs w:val="24"/>
            </w:rPr>
          </w:pPr>
          <w:r>
            <w:rPr>
              <w:rFonts w:ascii="Arial" w:hAnsi="Arial" w:cs="Arial"/>
              <w:b/>
              <w:sz w:val="24"/>
              <w:szCs w:val="24"/>
            </w:rPr>
            <w:t>Item X</w:t>
          </w:r>
        </w:p>
      </w:tc>
    </w:tr>
  </w:tbl>
  <w:p w14:paraId="0C9BA6F0" w14:textId="77777777" w:rsidR="008B3F8A" w:rsidRDefault="008B3F8A" w:rsidP="006B224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067BC"/>
    <w:multiLevelType w:val="hybridMultilevel"/>
    <w:tmpl w:val="C434A5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FF10FA8"/>
    <w:multiLevelType w:val="hybridMultilevel"/>
    <w:tmpl w:val="7F464074"/>
    <w:lvl w:ilvl="0" w:tplc="83C24BE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C111593"/>
    <w:multiLevelType w:val="multilevel"/>
    <w:tmpl w:val="C1AA5152"/>
    <w:lvl w:ilvl="0">
      <w:start w:val="1"/>
      <w:numFmt w:val="decimal"/>
      <w:lvlText w:val="%1."/>
      <w:lvlJc w:val="left"/>
      <w:pPr>
        <w:ind w:left="360" w:hanging="360"/>
      </w:pPr>
      <w:rPr>
        <w:b w:val="0"/>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E0F0B75"/>
    <w:multiLevelType w:val="hybridMultilevel"/>
    <w:tmpl w:val="A20E7764"/>
    <w:lvl w:ilvl="0" w:tplc="3E40A186">
      <w:start w:val="1"/>
      <w:numFmt w:val="decimal"/>
      <w:lvlText w:val="%1."/>
      <w:lvlJc w:val="left"/>
      <w:pPr>
        <w:ind w:left="360" w:hanging="360"/>
      </w:pPr>
      <w:rPr>
        <w:b w:val="0"/>
      </w:rPr>
    </w:lvl>
    <w:lvl w:ilvl="1" w:tplc="08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E934E06"/>
    <w:multiLevelType w:val="multilevel"/>
    <w:tmpl w:val="15828BF6"/>
    <w:lvl w:ilvl="0">
      <w:start w:val="1"/>
      <w:numFmt w:val="decimal"/>
      <w:lvlText w:val="%1."/>
      <w:lvlJc w:val="left"/>
      <w:pPr>
        <w:ind w:left="360" w:hanging="360"/>
      </w:pPr>
      <w:rPr>
        <w:rFonts w:hint="default"/>
        <w:b w:val="0"/>
      </w:rPr>
    </w:lvl>
    <w:lvl w:ilvl="1">
      <w:start w:val="1"/>
      <w:numFmt w:val="decimal"/>
      <w:lvlText w:val="%1.%2."/>
      <w:lvlJc w:val="center"/>
      <w:pPr>
        <w:ind w:left="792" w:hanging="432"/>
      </w:pPr>
      <w:rPr>
        <w:rFonts w:ascii="Arial" w:hAnsi="Arial" w:cs="Aria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B0C5C38"/>
    <w:multiLevelType w:val="multilevel"/>
    <w:tmpl w:val="F93E5C50"/>
    <w:lvl w:ilvl="0">
      <w:start w:val="20"/>
      <w:numFmt w:val="decimal"/>
      <w:lvlText w:val="%1."/>
      <w:lvlJc w:val="left"/>
      <w:pPr>
        <w:ind w:left="360" w:hanging="360"/>
      </w:pPr>
      <w:rPr>
        <w:rFonts w:hint="default"/>
        <w:b w:val="0"/>
      </w:rPr>
    </w:lvl>
    <w:lvl w:ilvl="1">
      <w:start w:val="1"/>
      <w:numFmt w:val="decimal"/>
      <w:lvlText w:val="%1.%2."/>
      <w:lvlJc w:val="left"/>
      <w:pPr>
        <w:ind w:left="792" w:hanging="432"/>
      </w:pPr>
      <w:rPr>
        <w:rFonts w:ascii="Arial" w:hAnsi="Arial" w:cs="Arial" w:hint="default"/>
        <w:b w:val="0"/>
      </w:rPr>
    </w:lvl>
    <w:lvl w:ilvl="2">
      <w:start w:val="1"/>
      <w:numFmt w:val="decimal"/>
      <w:lvlText w:val="%1.%2.%3."/>
      <w:lvlJc w:val="center"/>
      <w:pPr>
        <w:ind w:left="1474" w:hanging="7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61F1D8F"/>
    <w:multiLevelType w:val="multilevel"/>
    <w:tmpl w:val="6EB23218"/>
    <w:lvl w:ilvl="0">
      <w:start w:val="21"/>
      <w:numFmt w:val="decimal"/>
      <w:lvlText w:val="%1"/>
      <w:lvlJc w:val="left"/>
      <w:pPr>
        <w:ind w:left="420" w:hanging="420"/>
      </w:pPr>
      <w:rPr>
        <w:rFonts w:hint="default"/>
      </w:rPr>
    </w:lvl>
    <w:lvl w:ilvl="1">
      <w:start w:val="1"/>
      <w:numFmt w:val="decimal"/>
      <w:lvlText w:val="%1.%2"/>
      <w:lvlJc w:val="left"/>
      <w:pPr>
        <w:ind w:left="1191" w:hanging="831"/>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67B6CBD"/>
    <w:multiLevelType w:val="multilevel"/>
    <w:tmpl w:val="5F50F21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73E5059"/>
    <w:multiLevelType w:val="multilevel"/>
    <w:tmpl w:val="3D24F60E"/>
    <w:lvl w:ilvl="0">
      <w:start w:val="19"/>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8"/>
  </w:num>
  <w:num w:numId="3">
    <w:abstractNumId w:val="7"/>
  </w:num>
  <w:num w:numId="4">
    <w:abstractNumId w:val="9"/>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045A6"/>
    <w:rsid w:val="00036DA7"/>
    <w:rsid w:val="00082671"/>
    <w:rsid w:val="00095127"/>
    <w:rsid w:val="000A27D3"/>
    <w:rsid w:val="000B1BCB"/>
    <w:rsid w:val="000B71DE"/>
    <w:rsid w:val="000C6511"/>
    <w:rsid w:val="000D425C"/>
    <w:rsid w:val="000E272B"/>
    <w:rsid w:val="00105469"/>
    <w:rsid w:val="00122698"/>
    <w:rsid w:val="001323AE"/>
    <w:rsid w:val="001600AD"/>
    <w:rsid w:val="00176513"/>
    <w:rsid w:val="001964B8"/>
    <w:rsid w:val="0019661E"/>
    <w:rsid w:val="001B2601"/>
    <w:rsid w:val="001B36CE"/>
    <w:rsid w:val="001D30C3"/>
    <w:rsid w:val="001D3AC7"/>
    <w:rsid w:val="001F56E0"/>
    <w:rsid w:val="00243DF2"/>
    <w:rsid w:val="002619FC"/>
    <w:rsid w:val="002634A5"/>
    <w:rsid w:val="00283357"/>
    <w:rsid w:val="002D6E07"/>
    <w:rsid w:val="002F3971"/>
    <w:rsid w:val="003071E8"/>
    <w:rsid w:val="00324978"/>
    <w:rsid w:val="0034061B"/>
    <w:rsid w:val="00341D54"/>
    <w:rsid w:val="00344383"/>
    <w:rsid w:val="00347710"/>
    <w:rsid w:val="003521CA"/>
    <w:rsid w:val="003860E2"/>
    <w:rsid w:val="00387816"/>
    <w:rsid w:val="00397E7D"/>
    <w:rsid w:val="003C29D5"/>
    <w:rsid w:val="003C3149"/>
    <w:rsid w:val="003D667D"/>
    <w:rsid w:val="003F7169"/>
    <w:rsid w:val="00413E95"/>
    <w:rsid w:val="004A0786"/>
    <w:rsid w:val="004E15CC"/>
    <w:rsid w:val="004E472F"/>
    <w:rsid w:val="0051443A"/>
    <w:rsid w:val="00520704"/>
    <w:rsid w:val="00532583"/>
    <w:rsid w:val="005525D2"/>
    <w:rsid w:val="00575423"/>
    <w:rsid w:val="005B6CF8"/>
    <w:rsid w:val="005F280C"/>
    <w:rsid w:val="00612E8B"/>
    <w:rsid w:val="00617DEE"/>
    <w:rsid w:val="00625546"/>
    <w:rsid w:val="0063032A"/>
    <w:rsid w:val="00630690"/>
    <w:rsid w:val="006375C3"/>
    <w:rsid w:val="00637DF5"/>
    <w:rsid w:val="006635D5"/>
    <w:rsid w:val="00667B0E"/>
    <w:rsid w:val="0069054C"/>
    <w:rsid w:val="00694A39"/>
    <w:rsid w:val="006B2241"/>
    <w:rsid w:val="006C1D76"/>
    <w:rsid w:val="006D03C5"/>
    <w:rsid w:val="00701CB9"/>
    <w:rsid w:val="00735429"/>
    <w:rsid w:val="0074539E"/>
    <w:rsid w:val="00751BC2"/>
    <w:rsid w:val="007C381C"/>
    <w:rsid w:val="007F418E"/>
    <w:rsid w:val="00802501"/>
    <w:rsid w:val="00820FF5"/>
    <w:rsid w:val="00834C94"/>
    <w:rsid w:val="00841D53"/>
    <w:rsid w:val="008614E9"/>
    <w:rsid w:val="00874BA9"/>
    <w:rsid w:val="00877807"/>
    <w:rsid w:val="00884EEE"/>
    <w:rsid w:val="00891AE9"/>
    <w:rsid w:val="008A2135"/>
    <w:rsid w:val="008B3F8A"/>
    <w:rsid w:val="008D7D92"/>
    <w:rsid w:val="008F3C8D"/>
    <w:rsid w:val="00903790"/>
    <w:rsid w:val="009117A9"/>
    <w:rsid w:val="00912CC8"/>
    <w:rsid w:val="00985673"/>
    <w:rsid w:val="00992E96"/>
    <w:rsid w:val="009A2FC1"/>
    <w:rsid w:val="009A4AF9"/>
    <w:rsid w:val="009C10F2"/>
    <w:rsid w:val="00A055A8"/>
    <w:rsid w:val="00A060FF"/>
    <w:rsid w:val="00A12592"/>
    <w:rsid w:val="00A22F60"/>
    <w:rsid w:val="00A45A29"/>
    <w:rsid w:val="00A4667B"/>
    <w:rsid w:val="00A51414"/>
    <w:rsid w:val="00A54B38"/>
    <w:rsid w:val="00A71052"/>
    <w:rsid w:val="00A731AA"/>
    <w:rsid w:val="00A755F2"/>
    <w:rsid w:val="00A8470D"/>
    <w:rsid w:val="00AA2FB2"/>
    <w:rsid w:val="00AE1BE7"/>
    <w:rsid w:val="00AF6BAD"/>
    <w:rsid w:val="00B14E17"/>
    <w:rsid w:val="00B21075"/>
    <w:rsid w:val="00B23DA6"/>
    <w:rsid w:val="00B27F61"/>
    <w:rsid w:val="00B437C2"/>
    <w:rsid w:val="00B51128"/>
    <w:rsid w:val="00BB2760"/>
    <w:rsid w:val="00BB5340"/>
    <w:rsid w:val="00BC0A82"/>
    <w:rsid w:val="00BD42E7"/>
    <w:rsid w:val="00C02328"/>
    <w:rsid w:val="00C03461"/>
    <w:rsid w:val="00C03562"/>
    <w:rsid w:val="00C316D1"/>
    <w:rsid w:val="00C36205"/>
    <w:rsid w:val="00C44253"/>
    <w:rsid w:val="00C57221"/>
    <w:rsid w:val="00C67E0B"/>
    <w:rsid w:val="00C82E91"/>
    <w:rsid w:val="00CA4F80"/>
    <w:rsid w:val="00CC7B95"/>
    <w:rsid w:val="00CE607F"/>
    <w:rsid w:val="00CE6A10"/>
    <w:rsid w:val="00D171C8"/>
    <w:rsid w:val="00D202BF"/>
    <w:rsid w:val="00D33C8E"/>
    <w:rsid w:val="00D45B4D"/>
    <w:rsid w:val="00D741CE"/>
    <w:rsid w:val="00DD00C3"/>
    <w:rsid w:val="00DE684F"/>
    <w:rsid w:val="00DF09AF"/>
    <w:rsid w:val="00E036CA"/>
    <w:rsid w:val="00E1360A"/>
    <w:rsid w:val="00E1448D"/>
    <w:rsid w:val="00E50397"/>
    <w:rsid w:val="00E616AB"/>
    <w:rsid w:val="00E7550A"/>
    <w:rsid w:val="00E90693"/>
    <w:rsid w:val="00E90EA8"/>
    <w:rsid w:val="00ED03B9"/>
    <w:rsid w:val="00ED60BA"/>
    <w:rsid w:val="00ED6BDE"/>
    <w:rsid w:val="00EE7B41"/>
    <w:rsid w:val="00F32CDD"/>
    <w:rsid w:val="00F562F3"/>
    <w:rsid w:val="00F76458"/>
    <w:rsid w:val="00F82574"/>
    <w:rsid w:val="00F9757C"/>
    <w:rsid w:val="00FD2E8C"/>
    <w:rsid w:val="00FE6977"/>
    <w:rsid w:val="00FF66F2"/>
    <w:rsid w:val="00FF6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BA63B"/>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CommentReference">
    <w:name w:val="annotation reference"/>
    <w:basedOn w:val="DefaultParagraphFont"/>
    <w:uiPriority w:val="99"/>
    <w:semiHidden/>
    <w:unhideWhenUsed/>
    <w:rsid w:val="00E90693"/>
    <w:rPr>
      <w:sz w:val="16"/>
      <w:szCs w:val="16"/>
    </w:rPr>
  </w:style>
  <w:style w:type="paragraph" w:styleId="CommentText">
    <w:name w:val="annotation text"/>
    <w:basedOn w:val="Normal"/>
    <w:link w:val="CommentTextChar"/>
    <w:uiPriority w:val="99"/>
    <w:semiHidden/>
    <w:unhideWhenUsed/>
    <w:rsid w:val="00E90693"/>
    <w:rPr>
      <w:sz w:val="20"/>
    </w:rPr>
  </w:style>
  <w:style w:type="character" w:customStyle="1" w:styleId="CommentTextChar">
    <w:name w:val="Comment Text Char"/>
    <w:basedOn w:val="DefaultParagraphFont"/>
    <w:link w:val="CommentText"/>
    <w:uiPriority w:val="99"/>
    <w:semiHidden/>
    <w:rsid w:val="00E90693"/>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90693"/>
    <w:rPr>
      <w:b/>
      <w:bCs/>
    </w:rPr>
  </w:style>
  <w:style w:type="character" w:customStyle="1" w:styleId="CommentSubjectChar">
    <w:name w:val="Comment Subject Char"/>
    <w:basedOn w:val="CommentTextChar"/>
    <w:link w:val="CommentSubject"/>
    <w:uiPriority w:val="99"/>
    <w:semiHidden/>
    <w:rsid w:val="00E90693"/>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E906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693"/>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3C29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2789">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ocal.gov.uk/topics/employment-and-skills/work-loc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becca.cox@local.gov.uk" TargetMode="External"/><Relationship Id="rId5" Type="http://schemas.openxmlformats.org/officeDocument/2006/relationships/numbering" Target="numbering.xml"/><Relationship Id="rId15" Type="http://schemas.openxmlformats.org/officeDocument/2006/relationships/hyperlink" Target="https://www.local.gov.uk/about/campaigns/growing-places-building-local-public-services-futur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local.gov.uk/sites/default/files/documents/2017%2009%2007%20EU%20%28Withdrawal%29%20Bill%20-%20HC%20-%20Second%20Readi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xcel" ma:contentTypeID="0x010100E36CFF635486D14D86451630E8C3A6A700BB56D452BFCE0A47A895AD0B4C2518E5" ma:contentTypeVersion="5" ma:contentTypeDescription="" ma:contentTypeScope="" ma:versionID="686ea3dec962e167b4c7df8da046d50c">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06d089604684628695c2748c515b300d"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2:TaxCatchAllLabe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5a57605-5208-42d8-96dd-63dc42501190}" ma:internalName="TaxCatchAllLabel" ma:readOnly="true" ma:showField="CatchAllDataLabel"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1" nillable="true" ma:displayName="Meeting date" ma:format="DateOnly" ma:internalName="Meeting_x0020_date">
      <xsd:simpleType>
        <xsd:restriction base="dms:DateTime"/>
      </xsd:simpleType>
    </xsd:element>
    <xsd:element name="Work_x0020_Area" ma:index="12"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3"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CD121-F7C7-496B-9572-097787103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3.xml><?xml version="1.0" encoding="utf-8"?>
<ds:datastoreItem xmlns:ds="http://schemas.openxmlformats.org/officeDocument/2006/customXml" ds:itemID="{1A11D8DA-7CA7-4C05-8745-3E5D2C3B891A}">
  <ds:schemaRefs>
    <ds:schemaRef ds:uri="http://purl.org/dc/elements/1.1/"/>
    <ds:schemaRef ds:uri="http://purl.org/dc/dcmitype/"/>
    <ds:schemaRef ds:uri="http://schemas.microsoft.com/office/2006/metadata/properties"/>
    <ds:schemaRef ds:uri="http://schemas.microsoft.com/office/2006/documentManagement/types"/>
    <ds:schemaRef ds:uri="c8febe6a-14d9-43ab-83c3-c48f478fa47c"/>
    <ds:schemaRef ds:uri="http://purl.org/dc/terms/"/>
    <ds:schemaRef ds:uri="http://schemas.microsoft.com/office/infopath/2007/PartnerControls"/>
    <ds:schemaRef ds:uri="http://schemas.openxmlformats.org/package/2006/metadata/core-properties"/>
    <ds:schemaRef ds:uri="1c8a0e75-f4bc-4eb4-8ed0-578eaea9e1ca"/>
    <ds:schemaRef ds:uri="http://www.w3.org/XML/1998/namespace"/>
  </ds:schemaRefs>
</ds:datastoreItem>
</file>

<file path=customXml/itemProps4.xml><?xml version="1.0" encoding="utf-8"?>
<ds:datastoreItem xmlns:ds="http://schemas.openxmlformats.org/officeDocument/2006/customXml" ds:itemID="{31D31E89-EB27-4501-A6B5-039574E43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F0C4B568</Template>
  <TotalTime>19</TotalTime>
  <Pages>9</Pages>
  <Words>2923</Words>
  <Characters>16667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Eleanor Reader-Moore</cp:lastModifiedBy>
  <cp:revision>8</cp:revision>
  <dcterms:created xsi:type="dcterms:W3CDTF">2017-09-13T14:36:00Z</dcterms:created>
  <dcterms:modified xsi:type="dcterms:W3CDTF">2017-09-18T15:37:00Z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0x010100E36CFF635486D14D86451630E8C3A6A700BB56D452BFCE0A47A895AD0B4C2518E5</vt:lpwstr>
  </property>
  <property fmtid="{D5CDD505-2E9C-101B-9397-08002B2CF9AE}" pid="3" name="LGA Template">
    <vt:lpwstr>Template</vt:lpwstr>
  </property>
</Properties>
</file>